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EE6" w:rsidRPr="00293FB0" w:rsidRDefault="00C31EE6" w:rsidP="00342003">
      <w:pPr>
        <w:pBdr>
          <w:bottom w:val="single" w:sz="12" w:space="1" w:color="auto"/>
        </w:pBdr>
        <w:shd w:val="clear" w:color="auto" w:fill="FFFFFF"/>
        <w:tabs>
          <w:tab w:val="left" w:pos="3780"/>
        </w:tabs>
        <w:jc w:val="right"/>
        <w:rPr>
          <w:i/>
          <w:sz w:val="24"/>
          <w:szCs w:val="24"/>
          <w:lang w:val="kk-KZ"/>
        </w:rPr>
      </w:pPr>
      <w:r w:rsidRPr="00293FB0">
        <w:rPr>
          <w:i/>
          <w:sz w:val="24"/>
          <w:szCs w:val="24"/>
        </w:rPr>
        <w:t>Проект</w:t>
      </w:r>
    </w:p>
    <w:p w:rsidR="00C31EE6" w:rsidRPr="00293FB0" w:rsidRDefault="006865BC" w:rsidP="00774756">
      <w:pPr>
        <w:pBdr>
          <w:bottom w:val="single" w:sz="12" w:space="1" w:color="auto"/>
        </w:pBdr>
        <w:shd w:val="clear" w:color="auto" w:fill="FFFFFF"/>
        <w:ind w:firstLine="0"/>
        <w:jc w:val="center"/>
        <w:rPr>
          <w:sz w:val="24"/>
          <w:szCs w:val="24"/>
        </w:rPr>
      </w:pPr>
      <w:r w:rsidRPr="00293FB0">
        <w:rPr>
          <w:sz w:val="24"/>
          <w:szCs w:val="24"/>
        </w:rPr>
        <w:t>Изображение г</w:t>
      </w:r>
      <w:r w:rsidR="00C31EE6" w:rsidRPr="00293FB0">
        <w:rPr>
          <w:sz w:val="24"/>
          <w:szCs w:val="24"/>
        </w:rPr>
        <w:t>осударственного Герба Республики Казахстан</w:t>
      </w:r>
    </w:p>
    <w:p w:rsidR="00C31EE6" w:rsidRPr="00293FB0" w:rsidRDefault="00C31EE6" w:rsidP="00552CAF">
      <w:pPr>
        <w:pBdr>
          <w:bottom w:val="single" w:sz="12" w:space="1" w:color="auto"/>
        </w:pBdr>
        <w:shd w:val="clear" w:color="auto" w:fill="FFFFFF"/>
        <w:ind w:firstLine="0"/>
        <w:jc w:val="center"/>
        <w:rPr>
          <w:b/>
          <w:sz w:val="24"/>
          <w:szCs w:val="24"/>
        </w:rPr>
      </w:pPr>
    </w:p>
    <w:p w:rsidR="00C31EE6" w:rsidRPr="00293FB0" w:rsidRDefault="00C31EE6" w:rsidP="00552CAF">
      <w:pPr>
        <w:pBdr>
          <w:bottom w:val="single" w:sz="12" w:space="1" w:color="auto"/>
        </w:pBdr>
        <w:shd w:val="clear" w:color="auto" w:fill="FFFFFF"/>
        <w:ind w:firstLine="0"/>
        <w:jc w:val="center"/>
        <w:rPr>
          <w:b/>
          <w:sz w:val="24"/>
          <w:szCs w:val="24"/>
        </w:rPr>
      </w:pPr>
      <w:r w:rsidRPr="00293FB0">
        <w:rPr>
          <w:b/>
          <w:sz w:val="24"/>
          <w:szCs w:val="24"/>
        </w:rPr>
        <w:t>НАЦИОНАЛЬНЫЙ СТАНДАРТ РЕСПУБЛИКИ КАЗАХСТАН</w:t>
      </w:r>
    </w:p>
    <w:p w:rsidR="00C31EE6" w:rsidRPr="00293FB0" w:rsidRDefault="00C31EE6" w:rsidP="00552CAF">
      <w:pPr>
        <w:shd w:val="clear" w:color="auto" w:fill="FFFFFF"/>
        <w:ind w:firstLine="0"/>
        <w:jc w:val="center"/>
        <w:rPr>
          <w:b/>
          <w:caps/>
          <w:sz w:val="24"/>
          <w:szCs w:val="24"/>
        </w:rPr>
      </w:pPr>
    </w:p>
    <w:p w:rsidR="00C31EE6" w:rsidRPr="00293FB0" w:rsidRDefault="00C31EE6" w:rsidP="00552CAF">
      <w:pPr>
        <w:shd w:val="clear" w:color="auto" w:fill="FFFFFF"/>
        <w:tabs>
          <w:tab w:val="left" w:pos="8640"/>
        </w:tabs>
        <w:ind w:firstLine="0"/>
        <w:jc w:val="center"/>
        <w:rPr>
          <w:b/>
          <w:caps/>
          <w:sz w:val="24"/>
          <w:szCs w:val="24"/>
        </w:rPr>
      </w:pPr>
    </w:p>
    <w:p w:rsidR="000C50C5" w:rsidRPr="00293FB0" w:rsidRDefault="000C50C5" w:rsidP="00552CAF">
      <w:pPr>
        <w:shd w:val="clear" w:color="auto" w:fill="FFFFFF"/>
        <w:tabs>
          <w:tab w:val="left" w:pos="8640"/>
        </w:tabs>
        <w:ind w:firstLine="0"/>
        <w:jc w:val="center"/>
        <w:rPr>
          <w:b/>
          <w:caps/>
          <w:sz w:val="24"/>
          <w:szCs w:val="24"/>
        </w:rPr>
      </w:pPr>
    </w:p>
    <w:p w:rsidR="005E5B05" w:rsidRPr="00293FB0" w:rsidRDefault="005E5B05" w:rsidP="00552CAF">
      <w:pPr>
        <w:shd w:val="clear" w:color="auto" w:fill="FFFFFF"/>
        <w:tabs>
          <w:tab w:val="left" w:pos="8640"/>
        </w:tabs>
        <w:ind w:firstLine="0"/>
        <w:jc w:val="center"/>
        <w:rPr>
          <w:b/>
          <w:caps/>
          <w:sz w:val="24"/>
          <w:szCs w:val="24"/>
        </w:rPr>
      </w:pPr>
    </w:p>
    <w:p w:rsidR="005E5B05" w:rsidRPr="00293FB0" w:rsidRDefault="005E5B05" w:rsidP="00552CAF">
      <w:pPr>
        <w:shd w:val="clear" w:color="auto" w:fill="FFFFFF"/>
        <w:tabs>
          <w:tab w:val="left" w:pos="8640"/>
        </w:tabs>
        <w:ind w:firstLine="0"/>
        <w:jc w:val="center"/>
        <w:rPr>
          <w:b/>
          <w:caps/>
          <w:sz w:val="24"/>
          <w:szCs w:val="24"/>
        </w:rPr>
      </w:pPr>
    </w:p>
    <w:p w:rsidR="005E5B05" w:rsidRPr="00293FB0" w:rsidRDefault="005E5B05" w:rsidP="00552CAF">
      <w:pPr>
        <w:shd w:val="clear" w:color="auto" w:fill="FFFFFF"/>
        <w:tabs>
          <w:tab w:val="left" w:pos="8640"/>
        </w:tabs>
        <w:ind w:firstLine="0"/>
        <w:jc w:val="center"/>
        <w:rPr>
          <w:b/>
          <w:caps/>
          <w:sz w:val="24"/>
          <w:szCs w:val="24"/>
        </w:rPr>
      </w:pPr>
    </w:p>
    <w:p w:rsidR="005E5B05" w:rsidRPr="00293FB0" w:rsidRDefault="005E5B05" w:rsidP="00552CAF">
      <w:pPr>
        <w:shd w:val="clear" w:color="auto" w:fill="FFFFFF"/>
        <w:tabs>
          <w:tab w:val="left" w:pos="8640"/>
        </w:tabs>
        <w:ind w:firstLine="0"/>
        <w:jc w:val="center"/>
        <w:rPr>
          <w:b/>
          <w:caps/>
          <w:sz w:val="24"/>
          <w:szCs w:val="24"/>
        </w:rPr>
      </w:pPr>
    </w:p>
    <w:p w:rsidR="005E5B05" w:rsidRPr="00293FB0" w:rsidRDefault="005E5B05" w:rsidP="00552CAF">
      <w:pPr>
        <w:shd w:val="clear" w:color="auto" w:fill="FFFFFF"/>
        <w:tabs>
          <w:tab w:val="left" w:pos="8640"/>
        </w:tabs>
        <w:ind w:firstLine="0"/>
        <w:jc w:val="center"/>
        <w:rPr>
          <w:b/>
          <w:caps/>
          <w:sz w:val="24"/>
          <w:szCs w:val="24"/>
        </w:rPr>
      </w:pPr>
    </w:p>
    <w:p w:rsidR="005E5B05" w:rsidRDefault="005E5B05" w:rsidP="00552CAF">
      <w:pPr>
        <w:shd w:val="clear" w:color="auto" w:fill="FFFFFF"/>
        <w:tabs>
          <w:tab w:val="left" w:pos="8640"/>
        </w:tabs>
        <w:ind w:firstLine="0"/>
        <w:jc w:val="center"/>
        <w:rPr>
          <w:b/>
          <w:caps/>
          <w:sz w:val="24"/>
          <w:szCs w:val="24"/>
        </w:rPr>
      </w:pPr>
    </w:p>
    <w:p w:rsidR="00293FB0" w:rsidRDefault="00293FB0" w:rsidP="00552CAF">
      <w:pPr>
        <w:shd w:val="clear" w:color="auto" w:fill="FFFFFF"/>
        <w:tabs>
          <w:tab w:val="left" w:pos="8640"/>
        </w:tabs>
        <w:ind w:firstLine="0"/>
        <w:jc w:val="center"/>
        <w:rPr>
          <w:b/>
          <w:caps/>
          <w:sz w:val="24"/>
          <w:szCs w:val="24"/>
        </w:rPr>
      </w:pPr>
    </w:p>
    <w:p w:rsidR="004B7F4C" w:rsidRDefault="005E1714" w:rsidP="005E5B05">
      <w:pPr>
        <w:ind w:firstLine="0"/>
        <w:jc w:val="center"/>
        <w:rPr>
          <w:b/>
          <w:sz w:val="24"/>
          <w:szCs w:val="24"/>
          <w:lang w:val="kk-KZ"/>
        </w:rPr>
      </w:pPr>
      <w:r w:rsidRPr="005E1714">
        <w:rPr>
          <w:b/>
          <w:sz w:val="24"/>
          <w:szCs w:val="24"/>
        </w:rPr>
        <w:t>Подготовка жидкостей для гемодиализа и сопутствующей терапии и менеджмент качества</w:t>
      </w:r>
    </w:p>
    <w:p w:rsidR="005E1714" w:rsidRPr="005E1714" w:rsidRDefault="005E1714" w:rsidP="005E5B05">
      <w:pPr>
        <w:ind w:firstLine="0"/>
        <w:jc w:val="center"/>
        <w:rPr>
          <w:b/>
          <w:sz w:val="24"/>
          <w:szCs w:val="24"/>
          <w:lang w:val="kk-KZ"/>
        </w:rPr>
      </w:pPr>
    </w:p>
    <w:p w:rsidR="004B7F4C" w:rsidRPr="005E1714" w:rsidRDefault="005E1714" w:rsidP="005E5B05">
      <w:pPr>
        <w:ind w:firstLine="0"/>
        <w:jc w:val="center"/>
        <w:rPr>
          <w:b/>
          <w:sz w:val="24"/>
          <w:szCs w:val="24"/>
          <w:lang w:val="kk-KZ"/>
        </w:rPr>
      </w:pPr>
      <w:r>
        <w:rPr>
          <w:b/>
          <w:sz w:val="24"/>
          <w:szCs w:val="24"/>
        </w:rPr>
        <w:t xml:space="preserve">Часть </w:t>
      </w:r>
      <w:r w:rsidR="00877718">
        <w:rPr>
          <w:b/>
          <w:sz w:val="24"/>
          <w:szCs w:val="24"/>
          <w:lang w:val="kk-KZ"/>
        </w:rPr>
        <w:t>1</w:t>
      </w:r>
    </w:p>
    <w:p w:rsidR="004B7F4C" w:rsidRDefault="004B7F4C" w:rsidP="005E5B05">
      <w:pPr>
        <w:ind w:firstLine="0"/>
        <w:jc w:val="center"/>
        <w:rPr>
          <w:b/>
          <w:sz w:val="24"/>
          <w:szCs w:val="24"/>
          <w:lang w:val="kk-KZ"/>
        </w:rPr>
      </w:pPr>
    </w:p>
    <w:p w:rsidR="00B15869" w:rsidRDefault="005E1714" w:rsidP="005E5B05">
      <w:pPr>
        <w:ind w:firstLine="0"/>
        <w:jc w:val="center"/>
        <w:rPr>
          <w:b/>
          <w:color w:val="000000"/>
          <w:spacing w:val="4"/>
          <w:sz w:val="24"/>
          <w:szCs w:val="24"/>
          <w:lang w:val="kk-KZ"/>
        </w:rPr>
      </w:pPr>
      <w:r w:rsidRPr="005E1714">
        <w:rPr>
          <w:b/>
          <w:sz w:val="24"/>
          <w:szCs w:val="24"/>
        </w:rPr>
        <w:t>ОБЩИЕ ТРЕБОВАНИЯ</w:t>
      </w:r>
    </w:p>
    <w:p w:rsidR="004B7F4C" w:rsidRDefault="004B7F4C" w:rsidP="005E5B05">
      <w:pPr>
        <w:ind w:firstLine="0"/>
        <w:jc w:val="center"/>
        <w:rPr>
          <w:b/>
          <w:color w:val="000000"/>
          <w:spacing w:val="4"/>
          <w:sz w:val="24"/>
          <w:szCs w:val="24"/>
          <w:lang w:val="kk-KZ"/>
        </w:rPr>
      </w:pPr>
    </w:p>
    <w:p w:rsidR="005E1714" w:rsidRPr="004C0739" w:rsidRDefault="005E1714" w:rsidP="005E5B05">
      <w:pPr>
        <w:ind w:firstLine="0"/>
        <w:jc w:val="center"/>
        <w:rPr>
          <w:b/>
          <w:color w:val="000000"/>
          <w:spacing w:val="4"/>
          <w:sz w:val="24"/>
          <w:szCs w:val="24"/>
          <w:lang w:val="kk-KZ"/>
        </w:rPr>
      </w:pPr>
    </w:p>
    <w:p w:rsidR="005E5B05" w:rsidRPr="00FF3390" w:rsidRDefault="005E5B05" w:rsidP="005E5B05">
      <w:pPr>
        <w:ind w:firstLine="0"/>
        <w:jc w:val="center"/>
        <w:rPr>
          <w:b/>
          <w:sz w:val="24"/>
          <w:szCs w:val="24"/>
          <w:lang w:val="en-US"/>
        </w:rPr>
      </w:pPr>
      <w:proofErr w:type="gramStart"/>
      <w:r w:rsidRPr="00293FB0">
        <w:rPr>
          <w:b/>
          <w:sz w:val="24"/>
          <w:szCs w:val="24"/>
        </w:rPr>
        <w:t>СТ</w:t>
      </w:r>
      <w:proofErr w:type="gramEnd"/>
      <w:r w:rsidRPr="00FF3390">
        <w:rPr>
          <w:b/>
          <w:sz w:val="24"/>
          <w:szCs w:val="24"/>
          <w:lang w:val="en-US"/>
        </w:rPr>
        <w:t xml:space="preserve"> </w:t>
      </w:r>
      <w:r w:rsidRPr="00293FB0">
        <w:rPr>
          <w:b/>
          <w:sz w:val="24"/>
          <w:szCs w:val="24"/>
        </w:rPr>
        <w:t>РК</w:t>
      </w:r>
      <w:r w:rsidRPr="00FF3390">
        <w:rPr>
          <w:b/>
          <w:sz w:val="24"/>
          <w:szCs w:val="24"/>
          <w:lang w:val="en-US"/>
        </w:rPr>
        <w:t xml:space="preserve"> </w:t>
      </w:r>
      <w:r w:rsidR="006B40FD" w:rsidRPr="00293FB0">
        <w:rPr>
          <w:b/>
          <w:sz w:val="24"/>
          <w:szCs w:val="24"/>
          <w:lang w:val="en-US"/>
        </w:rPr>
        <w:t>ISO</w:t>
      </w:r>
      <w:r w:rsidRPr="00FF3390">
        <w:rPr>
          <w:b/>
          <w:sz w:val="24"/>
          <w:szCs w:val="24"/>
          <w:lang w:val="en-US"/>
        </w:rPr>
        <w:t xml:space="preserve"> </w:t>
      </w:r>
      <w:r w:rsidR="00315BDE">
        <w:rPr>
          <w:b/>
          <w:sz w:val="24"/>
          <w:szCs w:val="24"/>
          <w:lang w:val="kk-KZ"/>
        </w:rPr>
        <w:t>23500-1</w:t>
      </w:r>
    </w:p>
    <w:p w:rsidR="005E5B05" w:rsidRPr="00FF3390" w:rsidRDefault="005E5B05" w:rsidP="005E5B05">
      <w:pPr>
        <w:ind w:firstLine="0"/>
        <w:jc w:val="center"/>
        <w:rPr>
          <w:sz w:val="24"/>
          <w:szCs w:val="24"/>
          <w:lang w:val="en-US"/>
        </w:rPr>
      </w:pPr>
    </w:p>
    <w:p w:rsidR="00991E64" w:rsidRPr="00FF3390" w:rsidRDefault="00991E64" w:rsidP="005E5B05">
      <w:pPr>
        <w:ind w:firstLine="0"/>
        <w:jc w:val="center"/>
        <w:rPr>
          <w:sz w:val="24"/>
          <w:szCs w:val="24"/>
          <w:lang w:val="en-US"/>
        </w:rPr>
      </w:pPr>
    </w:p>
    <w:p w:rsidR="00AD5417" w:rsidRPr="00FF3390" w:rsidRDefault="00AD5417" w:rsidP="005E5B05">
      <w:pPr>
        <w:ind w:firstLine="0"/>
        <w:jc w:val="center"/>
        <w:rPr>
          <w:sz w:val="24"/>
          <w:szCs w:val="24"/>
          <w:lang w:val="en-US"/>
        </w:rPr>
      </w:pPr>
    </w:p>
    <w:p w:rsidR="005E5B05" w:rsidRPr="00C02F04" w:rsidRDefault="005E5B05" w:rsidP="005E1714">
      <w:pPr>
        <w:ind w:firstLine="0"/>
        <w:jc w:val="center"/>
        <w:rPr>
          <w:i/>
          <w:sz w:val="24"/>
          <w:szCs w:val="24"/>
          <w:lang w:val="en-US"/>
        </w:rPr>
      </w:pPr>
      <w:r w:rsidRPr="00C02F04">
        <w:rPr>
          <w:i/>
          <w:sz w:val="24"/>
          <w:szCs w:val="24"/>
          <w:lang w:val="en-US"/>
        </w:rPr>
        <w:t>(</w:t>
      </w:r>
      <w:r w:rsidR="004B7F4C">
        <w:rPr>
          <w:i/>
          <w:sz w:val="24"/>
          <w:szCs w:val="24"/>
          <w:lang w:val="en-US"/>
        </w:rPr>
        <w:t>ISO 23500-</w:t>
      </w:r>
      <w:r w:rsidR="00877718">
        <w:rPr>
          <w:i/>
          <w:sz w:val="24"/>
          <w:szCs w:val="24"/>
          <w:lang w:val="kk-KZ"/>
        </w:rPr>
        <w:t>1</w:t>
      </w:r>
      <w:r w:rsidR="005E1714">
        <w:rPr>
          <w:i/>
          <w:sz w:val="24"/>
          <w:szCs w:val="24"/>
          <w:lang w:val="kk-KZ"/>
        </w:rPr>
        <w:t>:</w:t>
      </w:r>
      <w:r w:rsidR="00B15869" w:rsidRPr="00B15869">
        <w:rPr>
          <w:i/>
          <w:sz w:val="24"/>
          <w:szCs w:val="24"/>
          <w:lang w:val="en-US"/>
        </w:rPr>
        <w:t>2019</w:t>
      </w:r>
      <w:r w:rsidR="00B15869">
        <w:rPr>
          <w:i/>
          <w:sz w:val="24"/>
          <w:szCs w:val="24"/>
          <w:lang w:val="en-US"/>
        </w:rPr>
        <w:t xml:space="preserve"> </w:t>
      </w:r>
      <w:r w:rsidR="005E1714" w:rsidRPr="005E1714">
        <w:rPr>
          <w:i/>
          <w:sz w:val="24"/>
          <w:szCs w:val="24"/>
          <w:lang w:val="en-US"/>
        </w:rPr>
        <w:t>Preparation and quality management of fluids for haemodialysis and related therapies —</w:t>
      </w:r>
      <w:r w:rsidR="005E1714">
        <w:rPr>
          <w:i/>
          <w:sz w:val="24"/>
          <w:szCs w:val="24"/>
          <w:lang w:val="kk-KZ"/>
        </w:rPr>
        <w:t xml:space="preserve"> </w:t>
      </w:r>
      <w:r w:rsidR="005E1714" w:rsidRPr="005E1714">
        <w:rPr>
          <w:i/>
          <w:sz w:val="24"/>
          <w:szCs w:val="24"/>
          <w:lang w:val="en-US"/>
        </w:rPr>
        <w:t>Part 1</w:t>
      </w:r>
      <w:proofErr w:type="gramStart"/>
      <w:r w:rsidR="005E1714" w:rsidRPr="005E1714">
        <w:rPr>
          <w:i/>
          <w:sz w:val="24"/>
          <w:szCs w:val="24"/>
          <w:lang w:val="en-US"/>
        </w:rPr>
        <w:t>:General</w:t>
      </w:r>
      <w:proofErr w:type="gramEnd"/>
      <w:r w:rsidR="005E1714" w:rsidRPr="005E1714">
        <w:rPr>
          <w:i/>
          <w:sz w:val="24"/>
          <w:szCs w:val="24"/>
          <w:lang w:val="en-US"/>
        </w:rPr>
        <w:t xml:space="preserve"> requirements</w:t>
      </w:r>
      <w:r w:rsidR="00406891" w:rsidRPr="00877C9D">
        <w:rPr>
          <w:i/>
          <w:sz w:val="24"/>
          <w:szCs w:val="24"/>
          <w:lang w:val="kk-KZ"/>
        </w:rPr>
        <w:t xml:space="preserve">, </w:t>
      </w:r>
      <w:r w:rsidR="002F4543" w:rsidRPr="00877C9D">
        <w:rPr>
          <w:i/>
          <w:sz w:val="24"/>
          <w:szCs w:val="24"/>
          <w:lang w:val="en-US"/>
        </w:rPr>
        <w:t>IDT</w:t>
      </w:r>
      <w:r w:rsidRPr="00C02F04">
        <w:rPr>
          <w:i/>
          <w:sz w:val="24"/>
          <w:szCs w:val="24"/>
          <w:lang w:val="en-US"/>
        </w:rPr>
        <w:t>)</w:t>
      </w:r>
    </w:p>
    <w:p w:rsidR="005E5B05" w:rsidRPr="00C02F04" w:rsidRDefault="005E5B05" w:rsidP="005E5B05">
      <w:pPr>
        <w:ind w:firstLine="0"/>
        <w:jc w:val="left"/>
        <w:rPr>
          <w:sz w:val="24"/>
          <w:szCs w:val="24"/>
          <w:lang w:val="en-US"/>
        </w:rPr>
      </w:pPr>
    </w:p>
    <w:p w:rsidR="005E5B05" w:rsidRPr="00C02F04" w:rsidRDefault="005E5B05" w:rsidP="005E5B05">
      <w:pPr>
        <w:ind w:firstLine="0"/>
        <w:jc w:val="left"/>
        <w:rPr>
          <w:sz w:val="24"/>
          <w:szCs w:val="24"/>
          <w:lang w:val="en-US"/>
        </w:rPr>
      </w:pPr>
    </w:p>
    <w:p w:rsidR="005E5B05" w:rsidRDefault="005E5B05" w:rsidP="005E5B05">
      <w:pPr>
        <w:ind w:firstLine="0"/>
        <w:jc w:val="left"/>
        <w:rPr>
          <w:sz w:val="24"/>
          <w:szCs w:val="24"/>
          <w:lang w:val="kk-KZ"/>
        </w:rPr>
      </w:pPr>
    </w:p>
    <w:p w:rsidR="005E1714" w:rsidRDefault="005E1714" w:rsidP="005E5B05">
      <w:pPr>
        <w:ind w:firstLine="0"/>
        <w:jc w:val="left"/>
        <w:rPr>
          <w:sz w:val="24"/>
          <w:szCs w:val="24"/>
          <w:lang w:val="kk-KZ"/>
        </w:rPr>
      </w:pPr>
    </w:p>
    <w:p w:rsidR="005E1714" w:rsidRPr="005E1714" w:rsidRDefault="005E1714" w:rsidP="005E5B05">
      <w:pPr>
        <w:ind w:firstLine="0"/>
        <w:jc w:val="left"/>
        <w:rPr>
          <w:sz w:val="24"/>
          <w:szCs w:val="24"/>
          <w:lang w:val="kk-KZ"/>
        </w:rPr>
      </w:pPr>
    </w:p>
    <w:p w:rsidR="005E5B05" w:rsidRPr="00293FB0" w:rsidRDefault="005E5B05" w:rsidP="005E5B05">
      <w:pPr>
        <w:ind w:firstLine="0"/>
        <w:jc w:val="center"/>
        <w:rPr>
          <w:i/>
          <w:sz w:val="24"/>
          <w:szCs w:val="24"/>
        </w:rPr>
      </w:pPr>
      <w:r w:rsidRPr="00293FB0">
        <w:rPr>
          <w:i/>
          <w:sz w:val="24"/>
          <w:szCs w:val="24"/>
        </w:rPr>
        <w:t>Настоящий проект стандарта</w:t>
      </w:r>
    </w:p>
    <w:p w:rsidR="005E5B05" w:rsidRPr="00293FB0" w:rsidRDefault="005E5B05" w:rsidP="005E5B05">
      <w:pPr>
        <w:ind w:firstLine="0"/>
        <w:jc w:val="center"/>
        <w:rPr>
          <w:i/>
          <w:sz w:val="24"/>
          <w:szCs w:val="24"/>
        </w:rPr>
      </w:pPr>
      <w:r w:rsidRPr="00293FB0">
        <w:rPr>
          <w:i/>
          <w:sz w:val="24"/>
          <w:szCs w:val="24"/>
        </w:rPr>
        <w:t>не подлежит применению до его утверждения</w:t>
      </w:r>
    </w:p>
    <w:p w:rsidR="005E5B05" w:rsidRPr="00293FB0" w:rsidRDefault="005E5B05" w:rsidP="005E5B05">
      <w:pPr>
        <w:ind w:firstLine="0"/>
        <w:jc w:val="center"/>
        <w:rPr>
          <w:sz w:val="24"/>
          <w:szCs w:val="24"/>
        </w:rPr>
      </w:pPr>
    </w:p>
    <w:p w:rsidR="00C31EE6" w:rsidRPr="00293FB0" w:rsidRDefault="00C31EE6" w:rsidP="00552CAF">
      <w:pPr>
        <w:shd w:val="clear" w:color="auto" w:fill="FFFFFF"/>
        <w:ind w:firstLine="0"/>
        <w:jc w:val="center"/>
        <w:rPr>
          <w:sz w:val="24"/>
          <w:szCs w:val="24"/>
        </w:rPr>
      </w:pPr>
    </w:p>
    <w:p w:rsidR="0007182B" w:rsidRDefault="0007182B" w:rsidP="00552CAF">
      <w:pPr>
        <w:shd w:val="clear" w:color="auto" w:fill="FFFFFF"/>
        <w:ind w:firstLine="0"/>
        <w:jc w:val="center"/>
        <w:rPr>
          <w:sz w:val="24"/>
          <w:szCs w:val="24"/>
        </w:rPr>
      </w:pPr>
    </w:p>
    <w:p w:rsidR="00293FB0" w:rsidRDefault="00293FB0" w:rsidP="00552CAF">
      <w:pPr>
        <w:shd w:val="clear" w:color="auto" w:fill="FFFFFF"/>
        <w:ind w:firstLine="0"/>
        <w:jc w:val="center"/>
        <w:rPr>
          <w:sz w:val="24"/>
          <w:szCs w:val="24"/>
        </w:rPr>
      </w:pPr>
    </w:p>
    <w:p w:rsidR="00293FB0" w:rsidRDefault="00293FB0" w:rsidP="00552CAF">
      <w:pPr>
        <w:shd w:val="clear" w:color="auto" w:fill="FFFFFF"/>
        <w:ind w:firstLine="0"/>
        <w:jc w:val="center"/>
        <w:rPr>
          <w:sz w:val="24"/>
          <w:szCs w:val="24"/>
        </w:rPr>
      </w:pPr>
    </w:p>
    <w:p w:rsidR="00293FB0" w:rsidRPr="004B7F4C" w:rsidRDefault="00293FB0" w:rsidP="00552CAF">
      <w:pPr>
        <w:shd w:val="clear" w:color="auto" w:fill="FFFFFF"/>
        <w:ind w:firstLine="0"/>
        <w:jc w:val="center"/>
        <w:rPr>
          <w:sz w:val="24"/>
          <w:szCs w:val="24"/>
        </w:rPr>
      </w:pPr>
    </w:p>
    <w:p w:rsidR="00B15869" w:rsidRPr="004B7F4C" w:rsidRDefault="00B15869" w:rsidP="00552CAF">
      <w:pPr>
        <w:shd w:val="clear" w:color="auto" w:fill="FFFFFF"/>
        <w:ind w:firstLine="0"/>
        <w:jc w:val="center"/>
        <w:rPr>
          <w:sz w:val="24"/>
          <w:szCs w:val="24"/>
        </w:rPr>
      </w:pPr>
    </w:p>
    <w:p w:rsidR="00B15869" w:rsidRPr="004B7F4C" w:rsidRDefault="00B15869" w:rsidP="00552CAF">
      <w:pPr>
        <w:shd w:val="clear" w:color="auto" w:fill="FFFFFF"/>
        <w:ind w:firstLine="0"/>
        <w:jc w:val="center"/>
        <w:rPr>
          <w:sz w:val="24"/>
          <w:szCs w:val="24"/>
        </w:rPr>
      </w:pPr>
    </w:p>
    <w:p w:rsidR="00293FB0" w:rsidRDefault="00293FB0" w:rsidP="00552CAF">
      <w:pPr>
        <w:shd w:val="clear" w:color="auto" w:fill="FFFFFF"/>
        <w:ind w:firstLine="0"/>
        <w:jc w:val="center"/>
        <w:rPr>
          <w:sz w:val="24"/>
          <w:szCs w:val="24"/>
        </w:rPr>
      </w:pPr>
    </w:p>
    <w:p w:rsidR="0007182B" w:rsidRPr="00293FB0" w:rsidRDefault="0007182B" w:rsidP="00552CAF">
      <w:pPr>
        <w:shd w:val="clear" w:color="auto" w:fill="FFFFFF"/>
        <w:ind w:firstLine="0"/>
        <w:jc w:val="center"/>
        <w:rPr>
          <w:sz w:val="24"/>
          <w:szCs w:val="24"/>
        </w:rPr>
      </w:pPr>
    </w:p>
    <w:p w:rsidR="00C31EE6" w:rsidRPr="00293FB0" w:rsidRDefault="00C31EE6" w:rsidP="00552CAF">
      <w:pPr>
        <w:shd w:val="clear" w:color="auto" w:fill="FFFFFF"/>
        <w:ind w:firstLine="0"/>
        <w:jc w:val="center"/>
        <w:rPr>
          <w:b/>
          <w:sz w:val="24"/>
          <w:szCs w:val="24"/>
          <w:lang w:val="kk-KZ"/>
        </w:rPr>
      </w:pPr>
      <w:r w:rsidRPr="00293FB0">
        <w:rPr>
          <w:b/>
          <w:sz w:val="24"/>
          <w:szCs w:val="24"/>
          <w:lang w:val="kk-KZ"/>
        </w:rPr>
        <w:t>Комитет</w:t>
      </w:r>
      <w:r w:rsidR="00AD20F2" w:rsidRPr="00293FB0">
        <w:rPr>
          <w:b/>
          <w:sz w:val="24"/>
          <w:szCs w:val="24"/>
          <w:lang w:val="kk-KZ"/>
        </w:rPr>
        <w:t xml:space="preserve"> </w:t>
      </w:r>
      <w:r w:rsidRPr="00293FB0">
        <w:rPr>
          <w:b/>
          <w:sz w:val="24"/>
          <w:szCs w:val="24"/>
          <w:lang w:val="kk-KZ"/>
        </w:rPr>
        <w:t>технического регулирования и метрологии</w:t>
      </w:r>
    </w:p>
    <w:p w:rsidR="00C31EE6" w:rsidRPr="00293FB0" w:rsidRDefault="00C31EE6" w:rsidP="00552CAF">
      <w:pPr>
        <w:shd w:val="clear" w:color="auto" w:fill="FFFFFF"/>
        <w:ind w:firstLine="0"/>
        <w:jc w:val="center"/>
        <w:rPr>
          <w:b/>
          <w:sz w:val="24"/>
          <w:szCs w:val="24"/>
          <w:lang w:val="kk-KZ"/>
        </w:rPr>
      </w:pPr>
      <w:r w:rsidRPr="00293FB0">
        <w:rPr>
          <w:b/>
          <w:sz w:val="24"/>
          <w:szCs w:val="24"/>
          <w:lang w:val="kk-KZ"/>
        </w:rPr>
        <w:t xml:space="preserve">Министерства </w:t>
      </w:r>
      <w:r w:rsidR="00406891">
        <w:rPr>
          <w:b/>
          <w:sz w:val="24"/>
          <w:szCs w:val="24"/>
          <w:lang w:val="kk-KZ"/>
        </w:rPr>
        <w:t>торговли и интеграции</w:t>
      </w:r>
      <w:r w:rsidR="00EC47CF" w:rsidRPr="00293FB0">
        <w:rPr>
          <w:b/>
          <w:sz w:val="24"/>
          <w:szCs w:val="24"/>
          <w:lang w:val="kk-KZ"/>
        </w:rPr>
        <w:t xml:space="preserve"> </w:t>
      </w:r>
      <w:r w:rsidRPr="00293FB0">
        <w:rPr>
          <w:b/>
          <w:sz w:val="24"/>
          <w:szCs w:val="24"/>
        </w:rPr>
        <w:t>Республики Казахстан</w:t>
      </w:r>
    </w:p>
    <w:p w:rsidR="00C31EE6" w:rsidRPr="00293FB0" w:rsidRDefault="00C31EE6" w:rsidP="00552CAF">
      <w:pPr>
        <w:shd w:val="clear" w:color="auto" w:fill="FFFFFF"/>
        <w:ind w:firstLine="0"/>
        <w:jc w:val="center"/>
        <w:rPr>
          <w:b/>
          <w:sz w:val="24"/>
          <w:szCs w:val="24"/>
          <w:lang w:val="kk-KZ"/>
        </w:rPr>
      </w:pPr>
      <w:r w:rsidRPr="00293FB0">
        <w:rPr>
          <w:b/>
          <w:sz w:val="24"/>
          <w:szCs w:val="24"/>
          <w:lang w:val="kk-KZ"/>
        </w:rPr>
        <w:t>(Госстандарт)</w:t>
      </w:r>
    </w:p>
    <w:p w:rsidR="001F6396" w:rsidRPr="00293FB0" w:rsidRDefault="001F6396" w:rsidP="00552CAF">
      <w:pPr>
        <w:shd w:val="clear" w:color="auto" w:fill="FFFFFF"/>
        <w:ind w:firstLine="0"/>
        <w:jc w:val="center"/>
        <w:rPr>
          <w:b/>
          <w:sz w:val="24"/>
          <w:szCs w:val="24"/>
          <w:lang w:val="kk-KZ"/>
        </w:rPr>
      </w:pPr>
    </w:p>
    <w:p w:rsidR="00C31EE6" w:rsidRPr="00D319FA" w:rsidRDefault="00D319FA" w:rsidP="00552CAF">
      <w:pPr>
        <w:shd w:val="clear" w:color="auto" w:fill="FFFFFF"/>
        <w:ind w:firstLine="0"/>
        <w:jc w:val="center"/>
        <w:rPr>
          <w:b/>
          <w:sz w:val="28"/>
          <w:szCs w:val="28"/>
          <w:lang w:val="kk-KZ"/>
        </w:rPr>
        <w:sectPr w:rsidR="00C31EE6" w:rsidRPr="00D319FA" w:rsidSect="00D50ED5">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293FB0">
        <w:rPr>
          <w:b/>
          <w:sz w:val="24"/>
          <w:szCs w:val="24"/>
          <w:lang w:val="kk-KZ"/>
        </w:rPr>
        <w:t>Нур-Султан</w:t>
      </w:r>
    </w:p>
    <w:p w:rsidR="00C31EE6" w:rsidRPr="00293FB0" w:rsidRDefault="00C31EE6" w:rsidP="00D319FA">
      <w:pPr>
        <w:shd w:val="clear" w:color="auto" w:fill="FFFFFF"/>
        <w:tabs>
          <w:tab w:val="center" w:pos="4677"/>
          <w:tab w:val="left" w:pos="7980"/>
        </w:tabs>
        <w:ind w:firstLine="0"/>
        <w:jc w:val="center"/>
        <w:rPr>
          <w:b/>
          <w:bCs/>
          <w:spacing w:val="3"/>
          <w:sz w:val="24"/>
          <w:szCs w:val="24"/>
        </w:rPr>
      </w:pPr>
      <w:r w:rsidRPr="00293FB0">
        <w:rPr>
          <w:b/>
          <w:bCs/>
          <w:spacing w:val="3"/>
          <w:sz w:val="24"/>
          <w:szCs w:val="24"/>
        </w:rPr>
        <w:lastRenderedPageBreak/>
        <w:t>Предисловие</w:t>
      </w:r>
    </w:p>
    <w:p w:rsidR="00C31EE6" w:rsidRPr="00293FB0" w:rsidRDefault="00C31EE6" w:rsidP="00342003">
      <w:pPr>
        <w:shd w:val="clear" w:color="auto" w:fill="FFFFFF"/>
        <w:ind w:firstLine="567"/>
        <w:rPr>
          <w:sz w:val="24"/>
          <w:szCs w:val="24"/>
        </w:rPr>
      </w:pPr>
    </w:p>
    <w:p w:rsidR="005E5B05" w:rsidRPr="00AD5417" w:rsidRDefault="005E5B05" w:rsidP="00293FB0">
      <w:pPr>
        <w:tabs>
          <w:tab w:val="left" w:pos="922"/>
        </w:tabs>
        <w:autoSpaceDE/>
        <w:autoSpaceDN/>
        <w:adjustRightInd/>
        <w:ind w:right="20" w:firstLine="567"/>
        <w:rPr>
          <w:sz w:val="24"/>
          <w:szCs w:val="24"/>
          <w:lang w:val="kk-KZ"/>
        </w:rPr>
      </w:pPr>
      <w:r w:rsidRPr="00293FB0">
        <w:rPr>
          <w:b/>
          <w:sz w:val="24"/>
          <w:szCs w:val="24"/>
        </w:rPr>
        <w:t xml:space="preserve">1 </w:t>
      </w:r>
      <w:proofErr w:type="gramStart"/>
      <w:r w:rsidRPr="00293FB0">
        <w:rPr>
          <w:b/>
          <w:sz w:val="24"/>
          <w:szCs w:val="24"/>
        </w:rPr>
        <w:t>ПОДГОТОВЛЕН</w:t>
      </w:r>
      <w:proofErr w:type="gramEnd"/>
      <w:r w:rsidRPr="00293FB0">
        <w:rPr>
          <w:b/>
          <w:sz w:val="24"/>
          <w:szCs w:val="24"/>
        </w:rPr>
        <w:t xml:space="preserve"> И </w:t>
      </w:r>
      <w:r w:rsidRPr="00293FB0">
        <w:rPr>
          <w:b/>
          <w:bCs/>
          <w:sz w:val="24"/>
          <w:szCs w:val="24"/>
        </w:rPr>
        <w:t xml:space="preserve">ВНЕСЕН </w:t>
      </w:r>
      <w:r w:rsidR="004D53F2" w:rsidRPr="004D53F2">
        <w:rPr>
          <w:sz w:val="24"/>
          <w:szCs w:val="24"/>
          <w:lang w:val="kk-KZ"/>
        </w:rPr>
        <w:t>Объединением юридических лиц «Республиканская ассоциация горнодобывающих и горно-металлургических предприятий»</w:t>
      </w:r>
    </w:p>
    <w:p w:rsidR="005E5B05" w:rsidRPr="00293FB0" w:rsidRDefault="005E5B05" w:rsidP="00293FB0">
      <w:pPr>
        <w:tabs>
          <w:tab w:val="left" w:pos="922"/>
        </w:tabs>
        <w:autoSpaceDE/>
        <w:autoSpaceDN/>
        <w:adjustRightInd/>
        <w:ind w:right="20" w:firstLine="567"/>
        <w:rPr>
          <w:sz w:val="24"/>
          <w:szCs w:val="24"/>
        </w:rPr>
      </w:pPr>
    </w:p>
    <w:p w:rsidR="005E5B05" w:rsidRPr="00293FB0" w:rsidRDefault="005E5B05" w:rsidP="00293FB0">
      <w:pPr>
        <w:tabs>
          <w:tab w:val="left" w:pos="835"/>
        </w:tabs>
        <w:autoSpaceDE/>
        <w:autoSpaceDN/>
        <w:adjustRightInd/>
        <w:ind w:right="20" w:firstLine="567"/>
        <w:rPr>
          <w:sz w:val="24"/>
          <w:szCs w:val="24"/>
        </w:rPr>
      </w:pPr>
      <w:r w:rsidRPr="00293FB0">
        <w:rPr>
          <w:b/>
          <w:bCs/>
          <w:sz w:val="24"/>
          <w:szCs w:val="24"/>
        </w:rPr>
        <w:t xml:space="preserve">2 УТВЕРЖДЕН И ВВЕДЕН В ДЕЙСТВИЕ </w:t>
      </w:r>
      <w:r w:rsidRPr="00293FB0">
        <w:rPr>
          <w:bCs/>
          <w:sz w:val="24"/>
          <w:szCs w:val="24"/>
        </w:rPr>
        <w:t xml:space="preserve">Приказом Председателя Комитета технического регулирования и метрологии Министерства </w:t>
      </w:r>
      <w:r w:rsidR="00C02F04">
        <w:rPr>
          <w:bCs/>
          <w:sz w:val="24"/>
          <w:szCs w:val="24"/>
          <w:lang w:val="kk-KZ"/>
        </w:rPr>
        <w:t>торговли и интеграции</w:t>
      </w:r>
      <w:r w:rsidRPr="00293FB0">
        <w:rPr>
          <w:bCs/>
          <w:sz w:val="24"/>
          <w:szCs w:val="24"/>
        </w:rPr>
        <w:t xml:space="preserve"> Республики Казахстан № __ от</w:t>
      </w:r>
      <w:r w:rsidR="00EC47CF" w:rsidRPr="00293FB0">
        <w:rPr>
          <w:bCs/>
          <w:sz w:val="24"/>
          <w:szCs w:val="24"/>
        </w:rPr>
        <w:t xml:space="preserve">            </w:t>
      </w:r>
      <w:r w:rsidR="00C02F04">
        <w:rPr>
          <w:bCs/>
          <w:sz w:val="24"/>
          <w:szCs w:val="24"/>
        </w:rPr>
        <w:t>«   » ____ 202</w:t>
      </w:r>
      <w:r w:rsidRPr="00293FB0">
        <w:rPr>
          <w:bCs/>
          <w:sz w:val="24"/>
          <w:szCs w:val="24"/>
        </w:rPr>
        <w:t>_года.</w:t>
      </w:r>
    </w:p>
    <w:p w:rsidR="00383ACE" w:rsidRPr="00293FB0" w:rsidRDefault="00383ACE" w:rsidP="00293FB0">
      <w:pPr>
        <w:tabs>
          <w:tab w:val="left" w:pos="835"/>
        </w:tabs>
        <w:autoSpaceDE/>
        <w:autoSpaceDN/>
        <w:adjustRightInd/>
        <w:ind w:right="20" w:firstLine="567"/>
        <w:rPr>
          <w:b/>
          <w:sz w:val="24"/>
          <w:szCs w:val="24"/>
          <w:lang w:val="kk-KZ"/>
        </w:rPr>
      </w:pPr>
    </w:p>
    <w:p w:rsidR="005E5B05" w:rsidRPr="00B15869" w:rsidRDefault="005E5B05" w:rsidP="00B15869">
      <w:pPr>
        <w:tabs>
          <w:tab w:val="left" w:pos="9072"/>
        </w:tabs>
        <w:ind w:firstLine="567"/>
        <w:rPr>
          <w:sz w:val="24"/>
          <w:szCs w:val="24"/>
          <w:lang w:val="kk-KZ"/>
        </w:rPr>
      </w:pPr>
      <w:r w:rsidRPr="00656FB4">
        <w:rPr>
          <w:b/>
          <w:sz w:val="24"/>
          <w:szCs w:val="24"/>
          <w:lang w:val="kk-KZ"/>
        </w:rPr>
        <w:t>3</w:t>
      </w:r>
      <w:r w:rsidR="00AD4CB7" w:rsidRPr="00656FB4">
        <w:rPr>
          <w:b/>
          <w:sz w:val="24"/>
          <w:szCs w:val="24"/>
          <w:lang w:val="kk-KZ"/>
        </w:rPr>
        <w:t xml:space="preserve"> </w:t>
      </w:r>
      <w:r w:rsidRPr="00656FB4">
        <w:rPr>
          <w:sz w:val="24"/>
          <w:szCs w:val="24"/>
          <w:lang w:val="kk-KZ"/>
        </w:rPr>
        <w:t xml:space="preserve">Настоящий стандарт идентичен международному стандарту </w:t>
      </w:r>
      <w:r w:rsidR="00877718" w:rsidRPr="00877718">
        <w:rPr>
          <w:sz w:val="24"/>
          <w:szCs w:val="24"/>
          <w:lang w:val="kk-KZ"/>
        </w:rPr>
        <w:t>ISO 23500-1:2019 Preparation and quality management of fluids for haemodialysis and related therapies — Part 1:General requirements</w:t>
      </w:r>
      <w:r w:rsidR="001F44BF" w:rsidRPr="00656FB4">
        <w:rPr>
          <w:sz w:val="24"/>
          <w:szCs w:val="24"/>
          <w:lang w:val="kk-KZ"/>
        </w:rPr>
        <w:t xml:space="preserve"> </w:t>
      </w:r>
      <w:r w:rsidRPr="00656FB4">
        <w:rPr>
          <w:sz w:val="24"/>
          <w:szCs w:val="24"/>
          <w:lang w:val="kk-KZ"/>
        </w:rPr>
        <w:t>(</w:t>
      </w:r>
      <w:r w:rsidR="00877718" w:rsidRPr="00877718">
        <w:rPr>
          <w:sz w:val="24"/>
          <w:szCs w:val="24"/>
          <w:lang w:val="kk-KZ"/>
        </w:rPr>
        <w:t>Подготовка жидкостей для гемодиализа и сопутствующей терапии и менеджмент качества. Часть 1. Общие требования</w:t>
      </w:r>
      <w:r w:rsidRPr="00656FB4">
        <w:rPr>
          <w:sz w:val="24"/>
          <w:szCs w:val="24"/>
          <w:lang w:val="kk-KZ"/>
        </w:rPr>
        <w:t>)</w:t>
      </w:r>
      <w:r w:rsidR="00CE3844" w:rsidRPr="00656FB4">
        <w:rPr>
          <w:sz w:val="24"/>
          <w:szCs w:val="24"/>
          <w:lang w:val="kk-KZ"/>
        </w:rPr>
        <w:t>.</w:t>
      </w:r>
    </w:p>
    <w:p w:rsidR="005E5B05" w:rsidRPr="00656FB4" w:rsidRDefault="005E5B05" w:rsidP="00293FB0">
      <w:pPr>
        <w:tabs>
          <w:tab w:val="left" w:pos="835"/>
        </w:tabs>
        <w:autoSpaceDE/>
        <w:autoSpaceDN/>
        <w:adjustRightInd/>
        <w:ind w:right="20" w:firstLine="567"/>
        <w:rPr>
          <w:sz w:val="24"/>
          <w:szCs w:val="24"/>
          <w:lang w:val="kk-KZ"/>
        </w:rPr>
      </w:pPr>
      <w:r w:rsidRPr="00656FB4">
        <w:rPr>
          <w:sz w:val="24"/>
          <w:szCs w:val="24"/>
          <w:lang w:val="kk-KZ"/>
        </w:rPr>
        <w:t xml:space="preserve">Международный стандарт </w:t>
      </w:r>
      <w:r w:rsidR="00877718">
        <w:rPr>
          <w:sz w:val="24"/>
          <w:szCs w:val="24"/>
          <w:lang w:val="kk-KZ"/>
        </w:rPr>
        <w:t>ISO 23500-1</w:t>
      </w:r>
      <w:r w:rsidR="00B15869" w:rsidRPr="00B15869">
        <w:rPr>
          <w:sz w:val="24"/>
          <w:szCs w:val="24"/>
          <w:lang w:val="kk-KZ"/>
        </w:rPr>
        <w:t>:2019</w:t>
      </w:r>
      <w:r w:rsidRPr="00656FB4">
        <w:rPr>
          <w:sz w:val="24"/>
          <w:szCs w:val="24"/>
          <w:lang w:val="kk-KZ"/>
        </w:rPr>
        <w:t xml:space="preserve"> разработан </w:t>
      </w:r>
      <w:r w:rsidR="00656FB4" w:rsidRPr="00656FB4">
        <w:rPr>
          <w:sz w:val="24"/>
          <w:szCs w:val="24"/>
          <w:lang w:val="kk-KZ"/>
        </w:rPr>
        <w:t xml:space="preserve">подкомитетом </w:t>
      </w:r>
      <w:r w:rsidR="00B15869">
        <w:rPr>
          <w:sz w:val="24"/>
          <w:szCs w:val="24"/>
          <w:lang w:val="kk-KZ"/>
        </w:rPr>
        <w:t>технического комитета</w:t>
      </w:r>
      <w:r w:rsidR="004636A8">
        <w:rPr>
          <w:sz w:val="24"/>
          <w:szCs w:val="24"/>
          <w:lang w:val="kk-KZ"/>
        </w:rPr>
        <w:t xml:space="preserve"> ISO/TC </w:t>
      </w:r>
      <w:r w:rsidR="00B15869">
        <w:rPr>
          <w:sz w:val="24"/>
          <w:szCs w:val="24"/>
          <w:lang w:val="kk-KZ"/>
        </w:rPr>
        <w:t>150</w:t>
      </w:r>
      <w:r w:rsidR="004636A8">
        <w:rPr>
          <w:sz w:val="24"/>
          <w:szCs w:val="24"/>
          <w:lang w:val="kk-KZ"/>
        </w:rPr>
        <w:t xml:space="preserve"> «</w:t>
      </w:r>
      <w:r w:rsidR="00B15869" w:rsidRPr="00B15869">
        <w:rPr>
          <w:sz w:val="24"/>
          <w:szCs w:val="24"/>
          <w:lang w:val="kk-KZ"/>
        </w:rPr>
        <w:t>Имплантанты в хирургии</w:t>
      </w:r>
      <w:r w:rsidR="004636A8">
        <w:rPr>
          <w:sz w:val="24"/>
          <w:szCs w:val="24"/>
          <w:lang w:val="kk-KZ"/>
        </w:rPr>
        <w:t>» SC 2</w:t>
      </w:r>
      <w:r w:rsidR="004636A8" w:rsidRPr="004636A8">
        <w:rPr>
          <w:sz w:val="24"/>
          <w:szCs w:val="24"/>
          <w:lang w:val="kk-KZ"/>
        </w:rPr>
        <w:t xml:space="preserve"> </w:t>
      </w:r>
      <w:r w:rsidR="004636A8">
        <w:rPr>
          <w:sz w:val="24"/>
          <w:szCs w:val="24"/>
          <w:lang w:val="kk-KZ"/>
        </w:rPr>
        <w:t>«</w:t>
      </w:r>
      <w:r w:rsidR="00B15869" w:rsidRPr="00B15869">
        <w:rPr>
          <w:sz w:val="24"/>
          <w:szCs w:val="24"/>
          <w:lang w:val="kk-KZ"/>
        </w:rPr>
        <w:t>Имплантанты сердечно-сосудистые и экстракорпоральные системы</w:t>
      </w:r>
      <w:r w:rsidR="004636A8">
        <w:rPr>
          <w:sz w:val="24"/>
          <w:szCs w:val="24"/>
          <w:lang w:val="kk-KZ"/>
        </w:rPr>
        <w:t>»</w:t>
      </w:r>
      <w:r w:rsidRPr="00656FB4">
        <w:rPr>
          <w:sz w:val="24"/>
          <w:szCs w:val="24"/>
          <w:lang w:val="kk-KZ"/>
        </w:rPr>
        <w:t xml:space="preserve">. </w:t>
      </w:r>
    </w:p>
    <w:p w:rsidR="005E5B05" w:rsidRPr="00C02F04" w:rsidRDefault="005E5B05" w:rsidP="00293FB0">
      <w:pPr>
        <w:tabs>
          <w:tab w:val="left" w:pos="835"/>
        </w:tabs>
        <w:autoSpaceDE/>
        <w:autoSpaceDN/>
        <w:adjustRightInd/>
        <w:ind w:right="20" w:firstLine="567"/>
        <w:rPr>
          <w:sz w:val="24"/>
          <w:szCs w:val="24"/>
          <w:lang w:val="kk-KZ"/>
        </w:rPr>
      </w:pPr>
      <w:r w:rsidRPr="00C02F04">
        <w:rPr>
          <w:sz w:val="24"/>
          <w:szCs w:val="24"/>
          <w:lang w:val="kk-KZ"/>
        </w:rPr>
        <w:t>Перевод с английского языка (en)</w:t>
      </w:r>
    </w:p>
    <w:p w:rsidR="005E5B05" w:rsidRPr="001F44BF" w:rsidRDefault="005E5B05" w:rsidP="00293FB0">
      <w:pPr>
        <w:tabs>
          <w:tab w:val="left" w:pos="835"/>
        </w:tabs>
        <w:autoSpaceDE/>
        <w:autoSpaceDN/>
        <w:adjustRightInd/>
        <w:ind w:right="20" w:firstLine="567"/>
        <w:rPr>
          <w:sz w:val="24"/>
          <w:szCs w:val="24"/>
          <w:lang w:val="kk-KZ"/>
        </w:rPr>
      </w:pPr>
      <w:r w:rsidRPr="001F44BF">
        <w:rPr>
          <w:sz w:val="24"/>
          <w:szCs w:val="24"/>
          <w:lang w:val="kk-KZ"/>
        </w:rPr>
        <w:t>Официальный экземпляр международного стандарта, на основе которого разработан настоящий стандарт, и официальные экземпляры международных стандартов, на которые даны ссылки, имеются в Едином государственном фонде нормативных технических документов</w:t>
      </w:r>
    </w:p>
    <w:p w:rsidR="00EF73B8" w:rsidRPr="001F44BF" w:rsidRDefault="00EF73B8" w:rsidP="00293FB0">
      <w:pPr>
        <w:tabs>
          <w:tab w:val="left" w:pos="835"/>
        </w:tabs>
        <w:autoSpaceDE/>
        <w:autoSpaceDN/>
        <w:adjustRightInd/>
        <w:ind w:right="20" w:firstLine="567"/>
        <w:rPr>
          <w:sz w:val="24"/>
          <w:szCs w:val="24"/>
          <w:lang w:val="kk-KZ"/>
        </w:rPr>
      </w:pPr>
      <w:r w:rsidRPr="001F44BF">
        <w:rPr>
          <w:sz w:val="24"/>
          <w:szCs w:val="24"/>
          <w:lang w:val="kk-KZ"/>
        </w:rPr>
        <w:t>В разделе «Нормативные ссылки» и тексте стандарта ссылочные международные стандарты актуализированы.</w:t>
      </w:r>
    </w:p>
    <w:p w:rsidR="00C37B43" w:rsidRDefault="00C37B43" w:rsidP="00293FB0">
      <w:pPr>
        <w:tabs>
          <w:tab w:val="left" w:pos="835"/>
        </w:tabs>
        <w:autoSpaceDE/>
        <w:autoSpaceDN/>
        <w:adjustRightInd/>
        <w:ind w:right="20" w:firstLine="567"/>
        <w:rPr>
          <w:sz w:val="24"/>
          <w:szCs w:val="24"/>
          <w:lang w:val="kk-KZ"/>
        </w:rPr>
      </w:pPr>
      <w:r w:rsidRPr="00C37B43">
        <w:rPr>
          <w:sz w:val="24"/>
          <w:szCs w:val="24"/>
          <w:lang w:val="kk-KZ"/>
        </w:rPr>
        <w:t>Сведения о соответствии национальных (межгосударственных) стандартов ссылочным международным стандартам, приведены в дополнительном приложении B.А.</w:t>
      </w:r>
    </w:p>
    <w:p w:rsidR="005E5B05" w:rsidRPr="008C1C51" w:rsidRDefault="005E5B05" w:rsidP="00293FB0">
      <w:pPr>
        <w:tabs>
          <w:tab w:val="left" w:pos="835"/>
        </w:tabs>
        <w:autoSpaceDE/>
        <w:autoSpaceDN/>
        <w:adjustRightInd/>
        <w:ind w:right="20" w:firstLine="567"/>
        <w:rPr>
          <w:sz w:val="24"/>
          <w:szCs w:val="24"/>
          <w:highlight w:val="yellow"/>
          <w:lang w:val="kk-KZ"/>
        </w:rPr>
      </w:pPr>
      <w:r w:rsidRPr="001F44BF">
        <w:rPr>
          <w:sz w:val="24"/>
          <w:szCs w:val="24"/>
          <w:lang w:val="kk-KZ"/>
        </w:rPr>
        <w:t>Степень соответствия – идентичная (IDT)</w:t>
      </w:r>
    </w:p>
    <w:p w:rsidR="005E5B05" w:rsidRPr="004D53F2" w:rsidRDefault="005E5B05" w:rsidP="00293FB0">
      <w:pPr>
        <w:tabs>
          <w:tab w:val="left" w:pos="835"/>
        </w:tabs>
        <w:autoSpaceDE/>
        <w:autoSpaceDN/>
        <w:adjustRightInd/>
        <w:ind w:right="20" w:firstLine="567"/>
        <w:rPr>
          <w:sz w:val="24"/>
          <w:szCs w:val="24"/>
          <w:lang w:val="kk-KZ"/>
        </w:rPr>
      </w:pPr>
    </w:p>
    <w:p w:rsidR="004D53F2" w:rsidRPr="004D53F2" w:rsidRDefault="004D53F2" w:rsidP="00293FB0">
      <w:pPr>
        <w:tabs>
          <w:tab w:val="left" w:pos="835"/>
        </w:tabs>
        <w:autoSpaceDE/>
        <w:autoSpaceDN/>
        <w:adjustRightInd/>
        <w:ind w:right="20" w:firstLine="567"/>
        <w:rPr>
          <w:sz w:val="24"/>
          <w:szCs w:val="24"/>
        </w:rPr>
      </w:pPr>
      <w:r w:rsidRPr="004D53F2">
        <w:rPr>
          <w:b/>
          <w:sz w:val="24"/>
          <w:szCs w:val="24"/>
          <w:lang w:val="kk-KZ"/>
        </w:rPr>
        <w:t xml:space="preserve">4 </w:t>
      </w:r>
      <w:r w:rsidRPr="004D53F2">
        <w:rPr>
          <w:sz w:val="24"/>
          <w:szCs w:val="24"/>
          <w:lang w:val="kk-KZ"/>
        </w:rPr>
        <w:t xml:space="preserve">В настоящем стандарте реализованы нормы Кодекса Республики Казахстан «О здоровье народа и системе здравоохранения» от 7 июля 2020 года </w:t>
      </w:r>
      <w:r w:rsidRPr="004D53F2">
        <w:rPr>
          <w:sz w:val="24"/>
          <w:szCs w:val="24"/>
        </w:rPr>
        <w:t>№ 360-</w:t>
      </w:r>
      <w:r w:rsidRPr="004D53F2">
        <w:rPr>
          <w:sz w:val="24"/>
          <w:szCs w:val="24"/>
          <w:lang w:val="en-US"/>
        </w:rPr>
        <w:t>VI</w:t>
      </w:r>
      <w:r w:rsidRPr="004D53F2">
        <w:rPr>
          <w:sz w:val="24"/>
          <w:szCs w:val="24"/>
        </w:rPr>
        <w:t>.</w:t>
      </w:r>
    </w:p>
    <w:p w:rsidR="004D53F2" w:rsidRDefault="004D53F2" w:rsidP="004636A8">
      <w:pPr>
        <w:tabs>
          <w:tab w:val="left" w:pos="835"/>
        </w:tabs>
        <w:autoSpaceDE/>
        <w:autoSpaceDN/>
        <w:adjustRightInd/>
        <w:ind w:right="20" w:firstLine="567"/>
        <w:rPr>
          <w:b/>
          <w:sz w:val="24"/>
          <w:szCs w:val="24"/>
          <w:lang w:val="kk-KZ"/>
        </w:rPr>
      </w:pPr>
    </w:p>
    <w:p w:rsidR="005E5B05" w:rsidRPr="004636A8" w:rsidRDefault="004D53F2" w:rsidP="004636A8">
      <w:pPr>
        <w:tabs>
          <w:tab w:val="left" w:pos="835"/>
        </w:tabs>
        <w:autoSpaceDE/>
        <w:autoSpaceDN/>
        <w:adjustRightInd/>
        <w:ind w:right="20" w:firstLine="567"/>
        <w:rPr>
          <w:b/>
          <w:bCs/>
          <w:sz w:val="24"/>
          <w:szCs w:val="24"/>
        </w:rPr>
      </w:pPr>
      <w:r>
        <w:rPr>
          <w:b/>
          <w:sz w:val="24"/>
          <w:szCs w:val="24"/>
          <w:lang w:val="kk-KZ"/>
        </w:rPr>
        <w:t>5</w:t>
      </w:r>
      <w:r w:rsidR="005E5B05" w:rsidRPr="000D3272">
        <w:rPr>
          <w:b/>
          <w:sz w:val="24"/>
          <w:szCs w:val="24"/>
          <w:lang w:val="kk-KZ"/>
        </w:rPr>
        <w:t xml:space="preserve"> </w:t>
      </w:r>
      <w:bookmarkStart w:id="0" w:name="_Toc494286439"/>
      <w:r w:rsidR="005E5B05" w:rsidRPr="001F44BF">
        <w:rPr>
          <w:b/>
          <w:bCs/>
          <w:sz w:val="24"/>
          <w:szCs w:val="24"/>
        </w:rPr>
        <w:t xml:space="preserve">ВВЕДЕН </w:t>
      </w:r>
      <w:bookmarkEnd w:id="0"/>
      <w:r w:rsidR="0067763C" w:rsidRPr="001F44BF">
        <w:rPr>
          <w:b/>
          <w:bCs/>
          <w:sz w:val="24"/>
          <w:szCs w:val="24"/>
          <w:lang w:val="kk-KZ"/>
        </w:rPr>
        <w:t>ВПЕРВЫЕ</w:t>
      </w:r>
    </w:p>
    <w:p w:rsidR="00CE3844" w:rsidRPr="008C1C51" w:rsidRDefault="00CE3844" w:rsidP="00EC47CF">
      <w:pPr>
        <w:tabs>
          <w:tab w:val="left" w:pos="567"/>
        </w:tabs>
        <w:autoSpaceDE/>
        <w:autoSpaceDN/>
        <w:adjustRightInd/>
        <w:ind w:firstLine="0"/>
        <w:outlineLvl w:val="2"/>
        <w:rPr>
          <w:bCs/>
          <w:sz w:val="24"/>
          <w:szCs w:val="24"/>
          <w:highlight w:val="yellow"/>
          <w:lang w:val="kk-KZ"/>
        </w:rPr>
      </w:pPr>
    </w:p>
    <w:p w:rsidR="001F44BF" w:rsidRPr="00E12D8D" w:rsidRDefault="001F44BF" w:rsidP="001F44BF">
      <w:pPr>
        <w:tabs>
          <w:tab w:val="left" w:pos="567"/>
        </w:tabs>
        <w:autoSpaceDE/>
        <w:autoSpaceDN/>
        <w:adjustRightInd/>
        <w:ind w:firstLine="567"/>
        <w:outlineLvl w:val="2"/>
        <w:rPr>
          <w:bCs/>
          <w:i/>
          <w:sz w:val="24"/>
          <w:szCs w:val="24"/>
          <w:lang w:val="kk-KZ"/>
        </w:rPr>
      </w:pPr>
      <w:r w:rsidRPr="00E12D8D">
        <w:rPr>
          <w:bCs/>
          <w:i/>
          <w:sz w:val="24"/>
          <w:szCs w:val="24"/>
          <w:lang w:val="kk-KZ"/>
        </w:rPr>
        <w:t xml:space="preserve">Информация об изменениях к настоящему стандарту публикуется в ежегодно издаваемом информационном </w:t>
      </w:r>
      <w:r w:rsidRPr="001F44BF">
        <w:rPr>
          <w:bCs/>
          <w:i/>
          <w:sz w:val="24"/>
          <w:szCs w:val="24"/>
          <w:lang w:val="kk-KZ"/>
        </w:rPr>
        <w:t>каталоге</w:t>
      </w:r>
      <w:r w:rsidRPr="00E12D8D">
        <w:rPr>
          <w:bCs/>
          <w:i/>
          <w:sz w:val="24"/>
          <w:szCs w:val="24"/>
          <w:lang w:val="kk-KZ"/>
        </w:rPr>
        <w:t xml:space="preserve"> «Документы по стандартизации», а </w:t>
      </w:r>
      <w:r>
        <w:rPr>
          <w:bCs/>
          <w:i/>
          <w:sz w:val="24"/>
          <w:szCs w:val="24"/>
          <w:lang w:val="kk-KZ"/>
        </w:rPr>
        <w:t>текст изменений и поправок - в периодически</w:t>
      </w:r>
      <w:r w:rsidRPr="00E12D8D">
        <w:rPr>
          <w:bCs/>
          <w:i/>
          <w:sz w:val="24"/>
          <w:szCs w:val="24"/>
          <w:lang w:val="kk-KZ"/>
        </w:rPr>
        <w:t xml:space="preserve"> издаваемых информационных </w:t>
      </w:r>
      <w:r w:rsidRPr="00BC52F3">
        <w:rPr>
          <w:bCs/>
          <w:i/>
          <w:sz w:val="24"/>
          <w:szCs w:val="24"/>
          <w:lang w:val="kk-KZ"/>
        </w:rPr>
        <w:t>каталогах</w:t>
      </w:r>
      <w:r w:rsidRPr="00E12D8D">
        <w:rPr>
          <w:bCs/>
          <w:i/>
          <w:sz w:val="24"/>
          <w:szCs w:val="24"/>
          <w:lang w:val="kk-KZ"/>
        </w:rPr>
        <w:t xml:space="preserve"> «Национальные стандарты». В случае пересмотра (замены) или отмены настоящего стандарта соответствующее уведомление будет опубликовано в </w:t>
      </w:r>
      <w:r w:rsidRPr="001F44BF">
        <w:rPr>
          <w:bCs/>
          <w:i/>
          <w:sz w:val="24"/>
          <w:szCs w:val="24"/>
          <w:lang w:val="kk-KZ"/>
        </w:rPr>
        <w:t>периодически</w:t>
      </w:r>
      <w:r w:rsidRPr="00E12D8D">
        <w:rPr>
          <w:bCs/>
          <w:i/>
          <w:sz w:val="24"/>
          <w:szCs w:val="24"/>
          <w:lang w:val="kk-KZ"/>
        </w:rPr>
        <w:t xml:space="preserve"> издаваемом информационном </w:t>
      </w:r>
      <w:r w:rsidRPr="00BC52F3">
        <w:rPr>
          <w:bCs/>
          <w:i/>
          <w:sz w:val="24"/>
          <w:szCs w:val="24"/>
          <w:lang w:val="kk-KZ"/>
        </w:rPr>
        <w:t>каталоге</w:t>
      </w:r>
      <w:r>
        <w:rPr>
          <w:bCs/>
          <w:i/>
          <w:sz w:val="24"/>
          <w:szCs w:val="24"/>
          <w:lang w:val="kk-KZ"/>
        </w:rPr>
        <w:t xml:space="preserve"> «Национальные стандарты»</w:t>
      </w:r>
    </w:p>
    <w:p w:rsidR="00205AA8" w:rsidRPr="00293FB0" w:rsidRDefault="00205AA8" w:rsidP="00342003">
      <w:pPr>
        <w:shd w:val="clear" w:color="auto" w:fill="FFFFFF"/>
        <w:ind w:firstLine="567"/>
        <w:rPr>
          <w:i/>
          <w:sz w:val="24"/>
          <w:szCs w:val="24"/>
          <w:lang w:val="kk-KZ"/>
        </w:rPr>
      </w:pPr>
    </w:p>
    <w:p w:rsidR="008B1FB2" w:rsidRDefault="008B1FB2" w:rsidP="00342003">
      <w:pPr>
        <w:shd w:val="clear" w:color="auto" w:fill="FFFFFF"/>
        <w:ind w:firstLine="567"/>
        <w:rPr>
          <w:i/>
          <w:sz w:val="24"/>
          <w:szCs w:val="24"/>
        </w:rPr>
      </w:pPr>
    </w:p>
    <w:p w:rsidR="00293FB0" w:rsidRDefault="00293FB0" w:rsidP="00342003">
      <w:pPr>
        <w:shd w:val="clear" w:color="auto" w:fill="FFFFFF"/>
        <w:ind w:firstLine="567"/>
        <w:rPr>
          <w:i/>
          <w:sz w:val="24"/>
          <w:szCs w:val="24"/>
        </w:rPr>
      </w:pPr>
    </w:p>
    <w:p w:rsidR="004636A8" w:rsidRDefault="004636A8" w:rsidP="00342003">
      <w:pPr>
        <w:shd w:val="clear" w:color="auto" w:fill="FFFFFF"/>
        <w:ind w:firstLine="567"/>
        <w:rPr>
          <w:i/>
          <w:sz w:val="24"/>
          <w:szCs w:val="24"/>
          <w:lang w:val="kk-KZ"/>
        </w:rPr>
      </w:pPr>
    </w:p>
    <w:p w:rsidR="0092364D" w:rsidRDefault="0092364D" w:rsidP="00342003">
      <w:pPr>
        <w:shd w:val="clear" w:color="auto" w:fill="FFFFFF"/>
        <w:ind w:firstLine="567"/>
        <w:rPr>
          <w:i/>
          <w:sz w:val="24"/>
          <w:szCs w:val="24"/>
          <w:lang w:val="kk-KZ"/>
        </w:rPr>
      </w:pPr>
    </w:p>
    <w:p w:rsidR="0092364D" w:rsidRDefault="0092364D" w:rsidP="00342003">
      <w:pPr>
        <w:shd w:val="clear" w:color="auto" w:fill="FFFFFF"/>
        <w:ind w:firstLine="567"/>
        <w:rPr>
          <w:i/>
          <w:sz w:val="24"/>
          <w:szCs w:val="24"/>
          <w:lang w:val="kk-KZ"/>
        </w:rPr>
      </w:pPr>
    </w:p>
    <w:p w:rsidR="00877718" w:rsidRPr="0092364D" w:rsidRDefault="00877718" w:rsidP="00342003">
      <w:pPr>
        <w:shd w:val="clear" w:color="auto" w:fill="FFFFFF"/>
        <w:ind w:firstLine="567"/>
        <w:rPr>
          <w:i/>
          <w:sz w:val="24"/>
          <w:szCs w:val="24"/>
          <w:lang w:val="kk-KZ"/>
        </w:rPr>
      </w:pPr>
    </w:p>
    <w:p w:rsidR="008748AF" w:rsidRPr="00293FB0" w:rsidRDefault="00C31EE6" w:rsidP="00991E64">
      <w:pPr>
        <w:shd w:val="clear" w:color="auto" w:fill="FFFFFF"/>
        <w:ind w:firstLine="567"/>
        <w:rPr>
          <w:sz w:val="24"/>
          <w:szCs w:val="24"/>
          <w:lang w:val="kk-KZ"/>
        </w:rPr>
      </w:pPr>
      <w:r w:rsidRPr="00293FB0">
        <w:rPr>
          <w:sz w:val="24"/>
          <w:szCs w:val="24"/>
        </w:rPr>
        <w:t xml:space="preserve">Настоящий стандарт не может быть </w:t>
      </w:r>
      <w:r w:rsidRPr="00293FB0">
        <w:rPr>
          <w:sz w:val="24"/>
          <w:szCs w:val="24"/>
          <w:lang w:val="kk-KZ"/>
        </w:rPr>
        <w:t xml:space="preserve">полностью или частично воспроизведен, </w:t>
      </w:r>
      <w:r w:rsidRPr="00293FB0">
        <w:rPr>
          <w:sz w:val="24"/>
          <w:szCs w:val="24"/>
        </w:rPr>
        <w:t xml:space="preserve">тиражирован и распространен </w:t>
      </w:r>
      <w:r w:rsidRPr="00293FB0">
        <w:rPr>
          <w:sz w:val="24"/>
          <w:szCs w:val="24"/>
          <w:lang w:val="kk-KZ"/>
        </w:rPr>
        <w:t xml:space="preserve">в качестве официального издания </w:t>
      </w:r>
      <w:r w:rsidR="0051402F" w:rsidRPr="00293FB0">
        <w:rPr>
          <w:sz w:val="24"/>
          <w:szCs w:val="24"/>
        </w:rPr>
        <w:t xml:space="preserve">без разрешения Комитета </w:t>
      </w:r>
      <w:r w:rsidRPr="00293FB0">
        <w:rPr>
          <w:sz w:val="24"/>
          <w:szCs w:val="24"/>
        </w:rPr>
        <w:t xml:space="preserve">технического регулирования и метрологии Министерства </w:t>
      </w:r>
      <w:r w:rsidR="008C1C51">
        <w:rPr>
          <w:sz w:val="24"/>
          <w:szCs w:val="24"/>
          <w:lang w:val="kk-KZ"/>
        </w:rPr>
        <w:t xml:space="preserve">торговли и интеграции </w:t>
      </w:r>
      <w:r w:rsidR="0066689D" w:rsidRPr="00293FB0">
        <w:rPr>
          <w:sz w:val="24"/>
          <w:szCs w:val="24"/>
        </w:rPr>
        <w:t>Республики Казахстан</w:t>
      </w:r>
      <w:r w:rsidR="0066689D" w:rsidRPr="00293FB0">
        <w:rPr>
          <w:sz w:val="24"/>
          <w:szCs w:val="24"/>
          <w:lang w:val="kk-KZ"/>
        </w:rPr>
        <w:t>.</w:t>
      </w:r>
    </w:p>
    <w:p w:rsidR="004636A8" w:rsidRDefault="004636A8" w:rsidP="004636A8">
      <w:pPr>
        <w:widowControl/>
        <w:autoSpaceDE/>
        <w:autoSpaceDN/>
        <w:adjustRightInd/>
        <w:ind w:firstLine="0"/>
        <w:jc w:val="center"/>
        <w:rPr>
          <w:b/>
          <w:sz w:val="24"/>
          <w:szCs w:val="24"/>
          <w:lang w:val="kk-KZ"/>
        </w:rPr>
      </w:pPr>
      <w:r w:rsidRPr="004636A8">
        <w:rPr>
          <w:b/>
          <w:sz w:val="24"/>
          <w:szCs w:val="24"/>
          <w:lang w:val="kk-KZ"/>
        </w:rPr>
        <w:lastRenderedPageBreak/>
        <w:t xml:space="preserve">Введение </w:t>
      </w:r>
    </w:p>
    <w:p w:rsidR="004636A8" w:rsidRDefault="004636A8" w:rsidP="00A36270">
      <w:pPr>
        <w:widowControl/>
        <w:autoSpaceDE/>
        <w:autoSpaceDN/>
        <w:adjustRightInd/>
        <w:ind w:firstLine="567"/>
        <w:rPr>
          <w:sz w:val="24"/>
          <w:szCs w:val="24"/>
          <w:lang w:val="kk-KZ"/>
        </w:rPr>
      </w:pP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Настоящий стандарт является базовым для ряда других стандартов, касающихся водоподготовки и производства диализирующих растворов (серия ISO 23500).</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Целью серии ISO 23500 является предоставление пользователям рекомендаций по обращению с водой и концентратами, а также по производству и контролю качества диализирующих растворов, используемых для гемодиализа. Необходимость такого руководства основана на критической роли качества диализирующих растворов в обеспечении безопасного и эффективного гемодиализа, а также на признании того факта, что качество регулярных диализирующих растворов находится под контролем медицинских работников, проводящих диализную терапию.</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В приложении А содержится дополнительная информация об обосновании разработки и положениях настоящего стандарта.</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Оборудование, используемое на различных стадиях подготовки диализирующего раствора: как правило, приобретается у специализированных поставщиков. Специалисты по диализу, как правило, несут ответственность за техническое обслуживание этого оборудования после его установки. Поэтому в настоящем стандарте содержатся рекомендации по надзору за качеством и техническому обслуживанию оборудования для обеспечения того, чтобы качество диализирующего раствора было всегда приемлемым. В различных разделах настоящего стандарта пользователю рекомендуется следовать инструкциям изготовителя по эксплуатации и техническому обслуживанию оборудования. В тех случаях, когда оборудование не приобретается у специализированного поставщика, пользователь несет ответственность за проверку работоспособности оборудования в условиях гемодиализа и за обеспечение наличия соответствующих руководств по эксплуатации и техническому обслуживанию.</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В приложении В к настоящему стандарту содержится дополнительная информация о компонентах системы, используемых для водоподготовки, подготовки концентрата и диализирующего раствора в отделении диализа. Эти описания предназначены для того, чтобы предоставить пользователю основу для понимания того, почему может потребоваться определенное оборудование и как оно должно быть сконфигурировано; они не предназначены в качестве стандартов детального проектирования. Требования к оборудованию для водоподготовки приведены в стандарте ISO 23500-2.</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 xml:space="preserve">Все чаще автономные интегрированные системы, разработанные и утвержденные для производства воды и диализирующих растворов, становятся доступными и используются клинически. Настоящий стандарт применяется к системам, собранным из отдельных компонентов. Следовательно, некоторые требования ISO 23500-1 и </w:t>
      </w:r>
      <w:r>
        <w:rPr>
          <w:sz w:val="24"/>
          <w:szCs w:val="24"/>
          <w:lang w:val="kk-KZ"/>
        </w:rPr>
        <w:t xml:space="preserve">                                                   </w:t>
      </w:r>
      <w:r w:rsidRPr="00877718">
        <w:rPr>
          <w:sz w:val="24"/>
          <w:szCs w:val="24"/>
          <w:lang w:val="kk-KZ"/>
        </w:rPr>
        <w:t>ISO 23500-2 могут не применяться к интегрированным системам, однако такие системы должны соответствовать требованиям ISO 23500-3, ISO 23500-4 и ISO 23500-5. Для обеспечения соответствия при использовании таких систем требуется соблюдение инструкций изготовителя относительно эксплуатации, испытаний и технического обслуживания таких систем, чтобы гарантировать, что система эксплуатируется в проверенных условиях.</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 xml:space="preserve">Настоящий стандарт отражает добросовестные усилия медицинских работников, пациентов и изготовителей медицинских изделий по разработке рекомендаций по обращению с водой и концентратами, а также по производству и надзору за диализирующими растворами для гемодиализа и защите пациенты на гемодиализе от неблагоприятных последствий, возникающих из-за известных химических и микробных загрязнений, которые могут быть обнаружены в неправильно приготовленном диализирующем растворе. Приложения F и G содержат дополнительную информацию в отношении специальных рекомендаций по гемодиализу на дому и гемодиализу при острой </w:t>
      </w:r>
      <w:r w:rsidRPr="00877718">
        <w:rPr>
          <w:sz w:val="24"/>
          <w:szCs w:val="24"/>
          <w:lang w:val="kk-KZ"/>
        </w:rPr>
        <w:lastRenderedPageBreak/>
        <w:t>недостаточности. Настоящий стандарт и все его части направлены на медицинских работников, участвующих в контроле или постоянном уходе за пациентами на гемодиализе, и ответственных за качество диализирующих растворов. Однако врач, отвечающий за диализ, несет полную ответственность за то; чтобы диализирующий раствор был правильно приготовлен и соответствовал требованиям всех применимых стандартов качества.</w:t>
      </w:r>
    </w:p>
    <w:p w:rsidR="00877718" w:rsidRPr="00877718" w:rsidRDefault="00877718" w:rsidP="00877718">
      <w:pPr>
        <w:widowControl/>
        <w:autoSpaceDE/>
        <w:autoSpaceDN/>
        <w:adjustRightInd/>
        <w:ind w:firstLine="567"/>
        <w:rPr>
          <w:sz w:val="24"/>
          <w:szCs w:val="24"/>
          <w:lang w:val="kk-KZ"/>
        </w:rPr>
      </w:pPr>
      <w:r w:rsidRPr="00877718">
        <w:rPr>
          <w:sz w:val="24"/>
          <w:szCs w:val="24"/>
          <w:lang w:val="kk-KZ"/>
        </w:rPr>
        <w:t>Положения, содержащиеся в настоящем стандарте, могут быть применимы не во всех обстоятельствах и не предназначены для нормативного применения.</w:t>
      </w:r>
    </w:p>
    <w:p w:rsidR="00A36270" w:rsidRDefault="00A36270" w:rsidP="00877718">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567"/>
        <w:rPr>
          <w:sz w:val="24"/>
          <w:szCs w:val="24"/>
          <w:lang w:val="kk-KZ"/>
        </w:rPr>
      </w:pPr>
    </w:p>
    <w:p w:rsidR="004B7F4C" w:rsidRDefault="004B7F4C" w:rsidP="004B7F4C">
      <w:pPr>
        <w:widowControl/>
        <w:autoSpaceDE/>
        <w:autoSpaceDN/>
        <w:adjustRightInd/>
        <w:ind w:firstLine="0"/>
        <w:jc w:val="center"/>
        <w:rPr>
          <w:b/>
          <w:sz w:val="24"/>
          <w:szCs w:val="24"/>
          <w:lang w:val="kk-KZ"/>
        </w:rPr>
      </w:pPr>
      <w:r w:rsidRPr="004B7F4C">
        <w:rPr>
          <w:b/>
          <w:sz w:val="24"/>
          <w:szCs w:val="24"/>
          <w:lang w:val="kk-KZ"/>
        </w:rPr>
        <w:lastRenderedPageBreak/>
        <w:t>Содержание</w:t>
      </w:r>
    </w:p>
    <w:p w:rsidR="004B7F4C" w:rsidRDefault="004B7F4C" w:rsidP="004B7F4C">
      <w:pPr>
        <w:widowControl/>
        <w:autoSpaceDE/>
        <w:autoSpaceDN/>
        <w:adjustRightInd/>
        <w:ind w:firstLine="0"/>
        <w:jc w:val="center"/>
        <w:rPr>
          <w:b/>
          <w:sz w:val="24"/>
          <w:szCs w:val="24"/>
          <w:lang w:val="kk-KZ"/>
        </w:rPr>
      </w:pPr>
    </w:p>
    <w:tbl>
      <w:tblPr>
        <w:tblStyle w:val="aa"/>
        <w:tblW w:w="0" w:type="auto"/>
        <w:tblLook w:val="04A0" w:firstRow="1" w:lastRow="0" w:firstColumn="1" w:lastColumn="0" w:noHBand="0" w:noVBand="1"/>
      </w:tblPr>
      <w:tblGrid>
        <w:gridCol w:w="456"/>
        <w:gridCol w:w="8586"/>
        <w:gridCol w:w="534"/>
      </w:tblGrid>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p>
        </w:tc>
        <w:tc>
          <w:tcPr>
            <w:tcW w:w="8647" w:type="dxa"/>
          </w:tcPr>
          <w:p w:rsidR="004B7F4C" w:rsidRPr="00D44A53" w:rsidRDefault="004B7F4C" w:rsidP="004B7F4C">
            <w:pPr>
              <w:widowControl/>
              <w:autoSpaceDE/>
              <w:autoSpaceDN/>
              <w:adjustRightInd/>
              <w:ind w:firstLine="0"/>
              <w:rPr>
                <w:rFonts w:ascii="Times New Roman" w:hAnsi="Times New Roman"/>
                <w:sz w:val="24"/>
                <w:szCs w:val="24"/>
                <w:lang w:val="kk-KZ"/>
              </w:rPr>
            </w:pPr>
            <w:r w:rsidRPr="00D44A53">
              <w:rPr>
                <w:rFonts w:ascii="Times New Roman" w:hAnsi="Times New Roman"/>
                <w:sz w:val="24"/>
                <w:szCs w:val="24"/>
                <w:lang w:val="kk-KZ"/>
              </w:rPr>
              <w:t>Введение</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r w:rsidRPr="00D44A53">
              <w:rPr>
                <w:rFonts w:ascii="Times New Roman" w:hAnsi="Times New Roman"/>
                <w:sz w:val="24"/>
                <w:szCs w:val="24"/>
                <w:lang w:val="kk-KZ"/>
              </w:rPr>
              <w:t>1</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Область применения</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r w:rsidRPr="00D44A53">
              <w:rPr>
                <w:rFonts w:ascii="Times New Roman" w:hAnsi="Times New Roman"/>
                <w:sz w:val="24"/>
                <w:szCs w:val="24"/>
                <w:lang w:val="kk-KZ"/>
              </w:rPr>
              <w:t>2</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Нормативные ссылки</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r w:rsidRPr="00D44A53">
              <w:rPr>
                <w:rFonts w:ascii="Times New Roman" w:hAnsi="Times New Roman"/>
                <w:sz w:val="24"/>
                <w:szCs w:val="24"/>
                <w:lang w:val="kk-KZ"/>
              </w:rPr>
              <w:t>3</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Термины и определения</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r w:rsidRPr="00D44A53">
              <w:rPr>
                <w:rFonts w:ascii="Times New Roman" w:hAnsi="Times New Roman"/>
                <w:sz w:val="24"/>
                <w:szCs w:val="24"/>
                <w:lang w:val="kk-KZ"/>
              </w:rPr>
              <w:t>4</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Требования к качеству</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r w:rsidRPr="00D44A53">
              <w:rPr>
                <w:rFonts w:ascii="Times New Roman" w:hAnsi="Times New Roman"/>
                <w:sz w:val="24"/>
                <w:szCs w:val="24"/>
                <w:lang w:val="kk-KZ"/>
              </w:rPr>
              <w:t>5</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Критические аспекты проектирования системы</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4B7F4C" w:rsidP="004B7F4C">
            <w:pPr>
              <w:widowControl/>
              <w:autoSpaceDE/>
              <w:autoSpaceDN/>
              <w:adjustRightInd/>
              <w:ind w:firstLine="0"/>
              <w:jc w:val="left"/>
              <w:rPr>
                <w:rFonts w:ascii="Times New Roman" w:hAnsi="Times New Roman"/>
                <w:sz w:val="24"/>
                <w:szCs w:val="24"/>
                <w:lang w:val="kk-KZ"/>
              </w:rPr>
            </w:pPr>
            <w:r w:rsidRPr="00D44A53">
              <w:rPr>
                <w:rFonts w:ascii="Times New Roman" w:hAnsi="Times New Roman"/>
                <w:sz w:val="24"/>
                <w:szCs w:val="24"/>
                <w:lang w:val="kk-KZ"/>
              </w:rPr>
              <w:t>6</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Валидация производительности системы</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877718" w:rsidP="004B7F4C">
            <w:pPr>
              <w:widowControl/>
              <w:autoSpaceDE/>
              <w:autoSpaceDN/>
              <w:adjustRightInd/>
              <w:ind w:firstLine="0"/>
              <w:jc w:val="left"/>
              <w:rPr>
                <w:rFonts w:ascii="Times New Roman" w:hAnsi="Times New Roman"/>
                <w:sz w:val="24"/>
                <w:szCs w:val="24"/>
                <w:lang w:val="kk-KZ"/>
              </w:rPr>
            </w:pPr>
            <w:r>
              <w:rPr>
                <w:rFonts w:ascii="Times New Roman" w:hAnsi="Times New Roman"/>
                <w:sz w:val="24"/>
                <w:szCs w:val="24"/>
                <w:lang w:val="kk-KZ"/>
              </w:rPr>
              <w:t>7</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Менеджмент качества</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877718" w:rsidP="004B7F4C">
            <w:pPr>
              <w:widowControl/>
              <w:autoSpaceDE/>
              <w:autoSpaceDN/>
              <w:adjustRightInd/>
              <w:ind w:firstLine="0"/>
              <w:jc w:val="left"/>
              <w:rPr>
                <w:rFonts w:ascii="Times New Roman" w:hAnsi="Times New Roman"/>
                <w:sz w:val="24"/>
                <w:szCs w:val="24"/>
                <w:lang w:val="kk-KZ"/>
              </w:rPr>
            </w:pPr>
            <w:r>
              <w:rPr>
                <w:rFonts w:ascii="Times New Roman" w:hAnsi="Times New Roman"/>
                <w:sz w:val="24"/>
                <w:szCs w:val="24"/>
                <w:lang w:val="kk-KZ"/>
              </w:rPr>
              <w:t>8</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rPr>
            </w:pPr>
            <w:r w:rsidRPr="00877718">
              <w:rPr>
                <w:rFonts w:ascii="Times New Roman" w:hAnsi="Times New Roman"/>
                <w:sz w:val="24"/>
                <w:szCs w:val="24"/>
              </w:rPr>
              <w:t>Методы микробиологического контроля</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877718" w:rsidP="004B7F4C">
            <w:pPr>
              <w:widowControl/>
              <w:autoSpaceDE/>
              <w:autoSpaceDN/>
              <w:adjustRightInd/>
              <w:ind w:firstLine="0"/>
              <w:jc w:val="left"/>
              <w:rPr>
                <w:rFonts w:ascii="Times New Roman" w:hAnsi="Times New Roman"/>
                <w:sz w:val="24"/>
                <w:szCs w:val="24"/>
                <w:lang w:val="kk-KZ"/>
              </w:rPr>
            </w:pPr>
            <w:r>
              <w:rPr>
                <w:rFonts w:ascii="Times New Roman" w:hAnsi="Times New Roman"/>
                <w:sz w:val="24"/>
                <w:szCs w:val="24"/>
                <w:lang w:val="kk-KZ"/>
              </w:rPr>
              <w:t>9</w:t>
            </w:r>
          </w:p>
        </w:tc>
        <w:tc>
          <w:tcPr>
            <w:tcW w:w="8647" w:type="dxa"/>
          </w:tcPr>
          <w:p w:rsidR="004B7F4C" w:rsidRPr="00D44A53" w:rsidRDefault="00877718" w:rsidP="004B7F4C">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Расположение и доступ к системе водоподготовки</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4B7F4C" w:rsidRPr="00D44A53" w:rsidTr="004B7F4C">
        <w:tc>
          <w:tcPr>
            <w:tcW w:w="392" w:type="dxa"/>
          </w:tcPr>
          <w:p w:rsidR="004B7F4C" w:rsidRPr="00D44A53" w:rsidRDefault="00877718" w:rsidP="004B7F4C">
            <w:pPr>
              <w:widowControl/>
              <w:autoSpaceDE/>
              <w:autoSpaceDN/>
              <w:adjustRightInd/>
              <w:ind w:firstLine="0"/>
              <w:jc w:val="left"/>
              <w:rPr>
                <w:rFonts w:ascii="Times New Roman" w:hAnsi="Times New Roman"/>
                <w:sz w:val="24"/>
                <w:szCs w:val="24"/>
                <w:lang w:val="kk-KZ"/>
              </w:rPr>
            </w:pPr>
            <w:r>
              <w:rPr>
                <w:rFonts w:ascii="Times New Roman" w:hAnsi="Times New Roman"/>
                <w:sz w:val="24"/>
                <w:szCs w:val="24"/>
                <w:lang w:val="kk-KZ"/>
              </w:rPr>
              <w:t>10</w:t>
            </w:r>
          </w:p>
        </w:tc>
        <w:tc>
          <w:tcPr>
            <w:tcW w:w="8647" w:type="dxa"/>
          </w:tcPr>
          <w:p w:rsidR="004B7F4C" w:rsidRPr="00D44A53" w:rsidRDefault="00877718" w:rsidP="00D44A53">
            <w:pPr>
              <w:widowControl/>
              <w:autoSpaceDE/>
              <w:autoSpaceDN/>
              <w:adjustRightInd/>
              <w:ind w:firstLine="0"/>
              <w:rPr>
                <w:rFonts w:ascii="Times New Roman" w:hAnsi="Times New Roman"/>
                <w:sz w:val="24"/>
                <w:szCs w:val="24"/>
                <w:lang w:val="kk-KZ"/>
              </w:rPr>
            </w:pPr>
            <w:r w:rsidRPr="00877718">
              <w:rPr>
                <w:rFonts w:ascii="Times New Roman" w:hAnsi="Times New Roman"/>
                <w:sz w:val="24"/>
                <w:szCs w:val="24"/>
                <w:lang w:val="kk-KZ"/>
              </w:rPr>
              <w:t>Персонал</w:t>
            </w:r>
          </w:p>
        </w:tc>
        <w:tc>
          <w:tcPr>
            <w:tcW w:w="537" w:type="dxa"/>
          </w:tcPr>
          <w:p w:rsidR="004B7F4C" w:rsidRPr="00D44A53" w:rsidRDefault="004B7F4C" w:rsidP="004B7F4C">
            <w:pPr>
              <w:widowControl/>
              <w:autoSpaceDE/>
              <w:autoSpaceDN/>
              <w:adjustRightInd/>
              <w:ind w:firstLine="0"/>
              <w:jc w:val="right"/>
              <w:rPr>
                <w:rFonts w:ascii="Times New Roman" w:hAnsi="Times New Roman"/>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А (</w:t>
            </w:r>
            <w:r>
              <w:rPr>
                <w:rFonts w:ascii="Times New Roman" w:hAnsi="Times New Roman"/>
                <w:sz w:val="24"/>
                <w:szCs w:val="24"/>
                <w:lang w:val="kk-KZ"/>
              </w:rPr>
              <w:t>информационное</w:t>
            </w:r>
            <w:r w:rsidRPr="00877718">
              <w:rPr>
                <w:rFonts w:ascii="Times New Roman" w:hAnsi="Times New Roman"/>
                <w:sz w:val="24"/>
                <w:szCs w:val="24"/>
                <w:lang w:val="kk-KZ"/>
              </w:rPr>
              <w:t>) Обоснование разработки и положений настоящего стандарта</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В (</w:t>
            </w:r>
            <w:r>
              <w:rPr>
                <w:rFonts w:ascii="Times New Roman" w:hAnsi="Times New Roman"/>
                <w:sz w:val="24"/>
                <w:szCs w:val="24"/>
                <w:lang w:val="kk-KZ"/>
              </w:rPr>
              <w:t>информационное</w:t>
            </w:r>
            <w:r w:rsidRPr="00877718">
              <w:rPr>
                <w:rFonts w:ascii="Times New Roman" w:hAnsi="Times New Roman"/>
                <w:sz w:val="24"/>
                <w:szCs w:val="24"/>
                <w:lang w:val="kk-KZ"/>
              </w:rPr>
              <w:t>) Оборудование</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С (</w:t>
            </w:r>
            <w:r>
              <w:rPr>
                <w:rFonts w:ascii="Times New Roman" w:hAnsi="Times New Roman"/>
                <w:sz w:val="24"/>
                <w:szCs w:val="24"/>
                <w:lang w:val="kk-KZ"/>
              </w:rPr>
              <w:t>информационное</w:t>
            </w:r>
            <w:r w:rsidRPr="00877718">
              <w:rPr>
                <w:rFonts w:ascii="Times New Roman" w:hAnsi="Times New Roman"/>
                <w:sz w:val="24"/>
                <w:szCs w:val="24"/>
                <w:lang w:val="kk-KZ"/>
              </w:rPr>
              <w:t xml:space="preserve">) Руководство по контролю за оборудованием </w:t>
            </w:r>
            <w:r>
              <w:rPr>
                <w:rFonts w:ascii="Times New Roman" w:hAnsi="Times New Roman"/>
                <w:sz w:val="24"/>
                <w:szCs w:val="24"/>
                <w:lang w:val="kk-KZ"/>
              </w:rPr>
              <w:t xml:space="preserve"> </w:t>
            </w:r>
            <w:r w:rsidRPr="00877718">
              <w:rPr>
                <w:rFonts w:ascii="Times New Roman" w:hAnsi="Times New Roman"/>
                <w:sz w:val="24"/>
                <w:szCs w:val="24"/>
                <w:lang w:val="kk-KZ"/>
              </w:rPr>
              <w:t>для водоподготовки, распределительными системами и диализирующим</w:t>
            </w:r>
            <w:r>
              <w:rPr>
                <w:rFonts w:ascii="Times New Roman" w:hAnsi="Times New Roman"/>
                <w:sz w:val="24"/>
                <w:szCs w:val="24"/>
                <w:lang w:val="kk-KZ"/>
              </w:rPr>
              <w:t xml:space="preserve"> </w:t>
            </w:r>
            <w:r w:rsidRPr="00877718">
              <w:rPr>
                <w:rFonts w:ascii="Times New Roman" w:hAnsi="Times New Roman"/>
                <w:sz w:val="24"/>
                <w:szCs w:val="24"/>
                <w:lang w:val="kk-KZ"/>
              </w:rPr>
              <w:t>раствором</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D (</w:t>
            </w:r>
            <w:r>
              <w:rPr>
                <w:rFonts w:ascii="Times New Roman" w:hAnsi="Times New Roman"/>
                <w:sz w:val="24"/>
                <w:szCs w:val="24"/>
                <w:lang w:val="kk-KZ"/>
              </w:rPr>
              <w:t>информационное</w:t>
            </w:r>
            <w:r w:rsidRPr="00877718">
              <w:rPr>
                <w:rFonts w:ascii="Times New Roman" w:hAnsi="Times New Roman"/>
                <w:sz w:val="24"/>
                <w:szCs w:val="24"/>
                <w:lang w:val="kk-KZ"/>
              </w:rPr>
              <w:t>) Методы микробиологического контроля</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Е (</w:t>
            </w:r>
            <w:r>
              <w:rPr>
                <w:rFonts w:ascii="Times New Roman" w:hAnsi="Times New Roman"/>
                <w:sz w:val="24"/>
                <w:szCs w:val="24"/>
                <w:lang w:val="kk-KZ"/>
              </w:rPr>
              <w:t>информационное</w:t>
            </w:r>
            <w:r w:rsidRPr="00877718">
              <w:rPr>
                <w:rFonts w:ascii="Times New Roman" w:hAnsi="Times New Roman"/>
                <w:sz w:val="24"/>
                <w:szCs w:val="24"/>
                <w:lang w:val="kk-KZ"/>
              </w:rPr>
              <w:t>) Валидация</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F (</w:t>
            </w:r>
            <w:r>
              <w:rPr>
                <w:rFonts w:ascii="Times New Roman" w:hAnsi="Times New Roman"/>
                <w:sz w:val="24"/>
                <w:szCs w:val="24"/>
                <w:lang w:val="kk-KZ"/>
              </w:rPr>
              <w:t>информационное</w:t>
            </w:r>
            <w:r w:rsidRPr="00877718">
              <w:rPr>
                <w:rFonts w:ascii="Times New Roman" w:hAnsi="Times New Roman"/>
                <w:sz w:val="24"/>
                <w:szCs w:val="24"/>
                <w:lang w:val="kk-KZ"/>
              </w:rPr>
              <w:t>) Особые рекомендации для гемодиализа на дому</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G (</w:t>
            </w:r>
            <w:r>
              <w:rPr>
                <w:rFonts w:ascii="Times New Roman" w:hAnsi="Times New Roman"/>
                <w:sz w:val="24"/>
                <w:szCs w:val="24"/>
                <w:lang w:val="kk-KZ"/>
              </w:rPr>
              <w:t>информационное</w:t>
            </w:r>
            <w:r w:rsidRPr="00877718">
              <w:rPr>
                <w:rFonts w:ascii="Times New Roman" w:hAnsi="Times New Roman"/>
                <w:sz w:val="24"/>
                <w:szCs w:val="24"/>
                <w:lang w:val="kk-KZ"/>
              </w:rPr>
              <w:t>) Особые рекомендации для острого диализа</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Библиография</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r w:rsidR="00877718" w:rsidRPr="00D44A53" w:rsidTr="004B7F4C">
        <w:tc>
          <w:tcPr>
            <w:tcW w:w="392" w:type="dxa"/>
          </w:tcPr>
          <w:p w:rsidR="00877718" w:rsidRPr="00877718" w:rsidRDefault="00877718" w:rsidP="00877718">
            <w:pPr>
              <w:widowControl/>
              <w:autoSpaceDE/>
              <w:autoSpaceDN/>
              <w:adjustRightInd/>
              <w:ind w:firstLine="0"/>
              <w:rPr>
                <w:rFonts w:ascii="Times New Roman" w:hAnsi="Times New Roman"/>
                <w:sz w:val="24"/>
                <w:szCs w:val="24"/>
                <w:lang w:val="kk-KZ"/>
              </w:rPr>
            </w:pPr>
          </w:p>
        </w:tc>
        <w:tc>
          <w:tcPr>
            <w:tcW w:w="8647" w:type="dxa"/>
          </w:tcPr>
          <w:p w:rsidR="00877718" w:rsidRPr="00877718" w:rsidRDefault="00877718" w:rsidP="00877718">
            <w:pPr>
              <w:widowControl/>
              <w:autoSpaceDE/>
              <w:autoSpaceDN/>
              <w:adjustRightInd/>
              <w:ind w:left="3939" w:hanging="3939"/>
              <w:rPr>
                <w:rFonts w:ascii="Times New Roman" w:hAnsi="Times New Roman"/>
                <w:sz w:val="24"/>
                <w:szCs w:val="24"/>
                <w:lang w:val="kk-KZ"/>
              </w:rPr>
            </w:pPr>
            <w:r w:rsidRPr="00877718">
              <w:rPr>
                <w:rFonts w:ascii="Times New Roman" w:hAnsi="Times New Roman"/>
                <w:sz w:val="24"/>
                <w:szCs w:val="24"/>
                <w:lang w:val="kk-KZ"/>
              </w:rPr>
              <w:t>Приложение B.A (информационное) Сведен</w:t>
            </w:r>
            <w:r>
              <w:rPr>
                <w:rFonts w:ascii="Times New Roman" w:hAnsi="Times New Roman"/>
                <w:sz w:val="24"/>
                <w:szCs w:val="24"/>
                <w:lang w:val="kk-KZ"/>
              </w:rPr>
              <w:t xml:space="preserve">ия о соответствии национального </w:t>
            </w:r>
            <w:r w:rsidRPr="00877718">
              <w:rPr>
                <w:rFonts w:ascii="Times New Roman" w:hAnsi="Times New Roman"/>
                <w:sz w:val="24"/>
                <w:szCs w:val="24"/>
                <w:lang w:val="kk-KZ"/>
              </w:rPr>
              <w:t>стандарта ссылочному международному стандарту</w:t>
            </w:r>
          </w:p>
        </w:tc>
        <w:tc>
          <w:tcPr>
            <w:tcW w:w="537" w:type="dxa"/>
          </w:tcPr>
          <w:p w:rsidR="00877718" w:rsidRPr="00D44A53" w:rsidRDefault="00877718" w:rsidP="004B7F4C">
            <w:pPr>
              <w:widowControl/>
              <w:autoSpaceDE/>
              <w:autoSpaceDN/>
              <w:adjustRightInd/>
              <w:ind w:firstLine="0"/>
              <w:jc w:val="right"/>
              <w:rPr>
                <w:sz w:val="24"/>
                <w:szCs w:val="24"/>
                <w:lang w:val="kk-KZ"/>
              </w:rPr>
            </w:pPr>
          </w:p>
        </w:tc>
      </w:tr>
    </w:tbl>
    <w:p w:rsidR="004B7F4C" w:rsidRPr="004B7F4C" w:rsidRDefault="004B7F4C" w:rsidP="004B7F4C">
      <w:pPr>
        <w:widowControl/>
        <w:autoSpaceDE/>
        <w:autoSpaceDN/>
        <w:adjustRightInd/>
        <w:ind w:firstLine="0"/>
        <w:jc w:val="center"/>
        <w:rPr>
          <w:b/>
          <w:sz w:val="24"/>
          <w:szCs w:val="24"/>
          <w:lang w:val="kk-KZ"/>
        </w:rPr>
        <w:sectPr w:rsidR="004B7F4C" w:rsidRPr="004B7F4C" w:rsidSect="00234125">
          <w:headerReference w:type="first" r:id="rId14"/>
          <w:footerReference w:type="first" r:id="rId15"/>
          <w:type w:val="evenPage"/>
          <w:pgSz w:w="11906" w:h="16838" w:code="9"/>
          <w:pgMar w:top="1438" w:right="1286" w:bottom="1418" w:left="1260" w:header="1021" w:footer="1021" w:gutter="0"/>
          <w:pgNumType w:fmt="upperRoman" w:start="2"/>
          <w:cols w:space="708"/>
          <w:docGrid w:linePitch="360"/>
        </w:sectPr>
      </w:pPr>
    </w:p>
    <w:p w:rsidR="00CE3844" w:rsidRPr="008C1C51" w:rsidRDefault="00512DEC" w:rsidP="008C1C51">
      <w:pPr>
        <w:pBdr>
          <w:bottom w:val="single" w:sz="12" w:space="4" w:color="auto"/>
        </w:pBdr>
        <w:shd w:val="clear" w:color="auto" w:fill="FFFFFF"/>
        <w:ind w:firstLine="0"/>
        <w:jc w:val="center"/>
        <w:outlineLvl w:val="0"/>
        <w:rPr>
          <w:b/>
          <w:sz w:val="24"/>
          <w:szCs w:val="24"/>
          <w:lang w:val="kk-KZ"/>
        </w:rPr>
      </w:pPr>
      <w:r w:rsidRPr="00293FB0">
        <w:rPr>
          <w:b/>
          <w:sz w:val="24"/>
          <w:szCs w:val="24"/>
        </w:rPr>
        <w:lastRenderedPageBreak/>
        <w:t>НАЦИОНАЛЬНЫЙ СТАНДАРТ РЕСПУБЛИКИ КАЗАХСТАН</w:t>
      </w:r>
    </w:p>
    <w:p w:rsidR="008C1C51" w:rsidRDefault="008C1C51" w:rsidP="008C1C51">
      <w:pPr>
        <w:tabs>
          <w:tab w:val="left" w:pos="9072"/>
        </w:tabs>
        <w:ind w:firstLine="0"/>
        <w:jc w:val="center"/>
        <w:rPr>
          <w:b/>
          <w:sz w:val="24"/>
          <w:szCs w:val="24"/>
          <w:lang w:val="kk-KZ"/>
        </w:rPr>
      </w:pPr>
    </w:p>
    <w:p w:rsidR="00877718" w:rsidRDefault="00877718" w:rsidP="00877718">
      <w:pPr>
        <w:ind w:firstLine="0"/>
        <w:jc w:val="center"/>
        <w:rPr>
          <w:b/>
          <w:sz w:val="24"/>
          <w:szCs w:val="24"/>
          <w:lang w:val="kk-KZ"/>
        </w:rPr>
      </w:pPr>
      <w:r w:rsidRPr="005E1714">
        <w:rPr>
          <w:b/>
          <w:sz w:val="24"/>
          <w:szCs w:val="24"/>
        </w:rPr>
        <w:t>Подготовка жидкостей для гемодиализа и сопутствующей терапии и менеджмент качества</w:t>
      </w:r>
    </w:p>
    <w:p w:rsidR="00877718" w:rsidRPr="005E1714" w:rsidRDefault="00877718" w:rsidP="00877718">
      <w:pPr>
        <w:ind w:firstLine="0"/>
        <w:jc w:val="center"/>
        <w:rPr>
          <w:b/>
          <w:sz w:val="24"/>
          <w:szCs w:val="24"/>
          <w:lang w:val="kk-KZ"/>
        </w:rPr>
      </w:pPr>
    </w:p>
    <w:p w:rsidR="00877718" w:rsidRPr="005E1714" w:rsidRDefault="00877718" w:rsidP="00877718">
      <w:pPr>
        <w:ind w:firstLine="0"/>
        <w:jc w:val="center"/>
        <w:rPr>
          <w:b/>
          <w:sz w:val="24"/>
          <w:szCs w:val="24"/>
          <w:lang w:val="kk-KZ"/>
        </w:rPr>
      </w:pPr>
      <w:r>
        <w:rPr>
          <w:b/>
          <w:sz w:val="24"/>
          <w:szCs w:val="24"/>
        </w:rPr>
        <w:t xml:space="preserve">Часть </w:t>
      </w:r>
      <w:r>
        <w:rPr>
          <w:b/>
          <w:sz w:val="24"/>
          <w:szCs w:val="24"/>
          <w:lang w:val="kk-KZ"/>
        </w:rPr>
        <w:t>2</w:t>
      </w:r>
    </w:p>
    <w:p w:rsidR="00877718" w:rsidRDefault="00877718" w:rsidP="00877718">
      <w:pPr>
        <w:ind w:firstLine="0"/>
        <w:jc w:val="center"/>
        <w:rPr>
          <w:b/>
          <w:sz w:val="24"/>
          <w:szCs w:val="24"/>
          <w:lang w:val="kk-KZ"/>
        </w:rPr>
      </w:pPr>
    </w:p>
    <w:p w:rsidR="00877718" w:rsidRDefault="00877718" w:rsidP="00877718">
      <w:pPr>
        <w:ind w:firstLine="0"/>
        <w:jc w:val="center"/>
        <w:rPr>
          <w:b/>
          <w:color w:val="000000"/>
          <w:spacing w:val="4"/>
          <w:sz w:val="24"/>
          <w:szCs w:val="24"/>
          <w:lang w:val="kk-KZ"/>
        </w:rPr>
      </w:pPr>
      <w:r w:rsidRPr="005E1714">
        <w:rPr>
          <w:b/>
          <w:sz w:val="24"/>
          <w:szCs w:val="24"/>
        </w:rPr>
        <w:t>ОБЩИЕ ТРЕБОВАНИЯ</w:t>
      </w:r>
    </w:p>
    <w:p w:rsidR="00CE3844" w:rsidRPr="00A36270" w:rsidRDefault="00CE3844" w:rsidP="00CE3844">
      <w:pPr>
        <w:pBdr>
          <w:bottom w:val="single" w:sz="12" w:space="0" w:color="auto"/>
        </w:pBdr>
        <w:shd w:val="clear" w:color="auto" w:fill="FFFFFF"/>
        <w:tabs>
          <w:tab w:val="left" w:pos="4125"/>
        </w:tabs>
        <w:ind w:firstLine="0"/>
        <w:jc w:val="center"/>
        <w:rPr>
          <w:b/>
          <w:sz w:val="24"/>
          <w:szCs w:val="24"/>
          <w:lang w:val="kk-KZ"/>
        </w:rPr>
      </w:pPr>
    </w:p>
    <w:p w:rsidR="00512DEC" w:rsidRPr="002D1B6E" w:rsidRDefault="00512DEC" w:rsidP="00342003">
      <w:pPr>
        <w:shd w:val="clear" w:color="auto" w:fill="FFFFFF"/>
        <w:ind w:firstLine="567"/>
        <w:jc w:val="right"/>
        <w:outlineLvl w:val="0"/>
        <w:rPr>
          <w:b/>
          <w:sz w:val="24"/>
          <w:szCs w:val="24"/>
          <w:lang w:val="kk-KZ"/>
        </w:rPr>
      </w:pPr>
      <w:r w:rsidRPr="00293FB0">
        <w:rPr>
          <w:b/>
          <w:sz w:val="24"/>
          <w:szCs w:val="24"/>
        </w:rPr>
        <w:t>Дата введения</w:t>
      </w:r>
      <w:r w:rsidR="002D1B6E">
        <w:rPr>
          <w:b/>
          <w:sz w:val="24"/>
          <w:szCs w:val="24"/>
          <w:lang w:val="kk-KZ"/>
        </w:rPr>
        <w:t xml:space="preserve"> 2020 -__-__</w:t>
      </w:r>
    </w:p>
    <w:p w:rsidR="00512DEC" w:rsidRPr="00293FB0" w:rsidRDefault="00512DEC" w:rsidP="00342003">
      <w:pPr>
        <w:shd w:val="clear" w:color="auto" w:fill="FFFFFF"/>
        <w:ind w:firstLine="567"/>
        <w:rPr>
          <w:b/>
          <w:sz w:val="24"/>
          <w:szCs w:val="24"/>
        </w:rPr>
      </w:pPr>
    </w:p>
    <w:p w:rsidR="00ED6E8C" w:rsidRPr="004636A8" w:rsidRDefault="00ED6E8C" w:rsidP="004636A8">
      <w:pPr>
        <w:ind w:firstLine="567"/>
        <w:rPr>
          <w:b/>
          <w:sz w:val="24"/>
          <w:szCs w:val="24"/>
        </w:rPr>
      </w:pPr>
      <w:r w:rsidRPr="004636A8">
        <w:rPr>
          <w:b/>
          <w:sz w:val="24"/>
          <w:szCs w:val="24"/>
        </w:rPr>
        <w:t>1 Область применения</w:t>
      </w:r>
    </w:p>
    <w:p w:rsidR="007E3CDB" w:rsidRPr="004636A8" w:rsidRDefault="007E3CDB" w:rsidP="004636A8">
      <w:pPr>
        <w:ind w:firstLine="567"/>
        <w:rPr>
          <w:sz w:val="24"/>
          <w:szCs w:val="24"/>
        </w:rPr>
      </w:pPr>
    </w:p>
    <w:p w:rsidR="00877718" w:rsidRPr="00877718" w:rsidRDefault="00877718" w:rsidP="00877718">
      <w:pPr>
        <w:ind w:firstLine="567"/>
        <w:rPr>
          <w:sz w:val="24"/>
          <w:szCs w:val="24"/>
        </w:rPr>
      </w:pPr>
      <w:proofErr w:type="gramStart"/>
      <w:r w:rsidRPr="00877718">
        <w:rPr>
          <w:sz w:val="24"/>
          <w:szCs w:val="24"/>
        </w:rPr>
        <w:t>Настоящий стандарт является базовым для ряда других стандартов, касающихся оборудования для водоподготовки, воды, воды для диализа, концентратов и диализирующих растворов (серия ISO 23500), и предоставляет практикующим специалистам по проведению гемодиализа руководство по подготовке диализирующих растворов для гемодиализа и сопутствующей терапии, а также замещающих растворов для использования в терапии в режиме реального времени, такой как гемодиафильтрация и гемофильтрация.</w:t>
      </w:r>
      <w:proofErr w:type="gramEnd"/>
      <w:r w:rsidRPr="00877718">
        <w:rPr>
          <w:sz w:val="24"/>
          <w:szCs w:val="24"/>
        </w:rPr>
        <w:t xml:space="preserve"> Таким образом, настоящий стандарт функционирует как рекомендуемая практика.</w:t>
      </w:r>
    </w:p>
    <w:p w:rsidR="00877718" w:rsidRPr="00877718" w:rsidRDefault="00877718" w:rsidP="00877718">
      <w:pPr>
        <w:ind w:firstLine="567"/>
        <w:rPr>
          <w:sz w:val="24"/>
          <w:szCs w:val="24"/>
        </w:rPr>
      </w:pPr>
      <w:r w:rsidRPr="00877718">
        <w:rPr>
          <w:sz w:val="24"/>
          <w:szCs w:val="24"/>
        </w:rPr>
        <w:t>В настоящем стандарте не рассматриваются клинические ошибки, которые могут быть связаны с неправильным использованием воды, воды для диализа, концентратов или диализирующих растворов. Медицинские работники, участвующие в лечении почечной недостаточности, должны принять окончательное решение относительно применения этих жидкостей, например для гемодиализа, гемодиафильтрации, высокопоточного гемодиализа и повторной обработки</w:t>
      </w:r>
      <w:r>
        <w:rPr>
          <w:sz w:val="24"/>
          <w:szCs w:val="24"/>
          <w:lang w:val="kk-KZ"/>
        </w:rPr>
        <w:t xml:space="preserve"> </w:t>
      </w:r>
      <w:r w:rsidRPr="00877718">
        <w:rPr>
          <w:sz w:val="24"/>
          <w:szCs w:val="24"/>
        </w:rPr>
        <w:t>диализатора, и должны быть осведомлены об ошибках, которые возникают при использовании ненадлежащего качества жидкости в каждом из методов лечения.</w:t>
      </w:r>
    </w:p>
    <w:p w:rsidR="00D44A53" w:rsidRDefault="00877718" w:rsidP="00877718">
      <w:pPr>
        <w:ind w:firstLine="567"/>
        <w:rPr>
          <w:sz w:val="24"/>
          <w:szCs w:val="24"/>
          <w:lang w:val="kk-KZ"/>
        </w:rPr>
      </w:pPr>
      <w:r w:rsidRPr="00877718">
        <w:rPr>
          <w:sz w:val="24"/>
          <w:szCs w:val="24"/>
        </w:rPr>
        <w:t>Концепции, включенные в настоящий стандарт, не следует считать жесткими или статичными. Представленные здесь рекомендации следует периодически пересматривать, чтобы обеспечить более глубокое понимание роли чистоты диализирующих растворов в результатах лечения пациентов и технологических разработках.</w:t>
      </w:r>
    </w:p>
    <w:p w:rsidR="00877718" w:rsidRPr="00877718" w:rsidRDefault="00877718" w:rsidP="00877718">
      <w:pPr>
        <w:ind w:firstLine="567"/>
        <w:rPr>
          <w:sz w:val="24"/>
          <w:szCs w:val="24"/>
          <w:lang w:val="kk-KZ"/>
        </w:rPr>
      </w:pPr>
      <w:r w:rsidRPr="00877718">
        <w:rPr>
          <w:sz w:val="24"/>
          <w:szCs w:val="24"/>
          <w:lang w:val="kk-KZ"/>
        </w:rPr>
        <w:t>В настоящем стандарте рассматривается ответственность пользователя за диализирующий раствор после того, как оборудование, используемое для его приготовления, было доставлено и установлено.</w:t>
      </w:r>
    </w:p>
    <w:p w:rsidR="00877718" w:rsidRPr="00877718" w:rsidRDefault="00877718" w:rsidP="00877718">
      <w:pPr>
        <w:ind w:firstLine="567"/>
        <w:rPr>
          <w:sz w:val="24"/>
          <w:szCs w:val="24"/>
          <w:lang w:val="kk-KZ"/>
        </w:rPr>
      </w:pPr>
      <w:r w:rsidRPr="00877718">
        <w:rPr>
          <w:sz w:val="24"/>
          <w:szCs w:val="24"/>
          <w:lang w:val="kk-KZ"/>
        </w:rPr>
        <w:t>Для целей настоящего стандарта понятие диализирующий раствор включает в себя:</w:t>
      </w:r>
    </w:p>
    <w:p w:rsidR="00877718" w:rsidRPr="00877718" w:rsidRDefault="00877718" w:rsidP="00877718">
      <w:pPr>
        <w:ind w:firstLine="567"/>
        <w:rPr>
          <w:sz w:val="24"/>
          <w:szCs w:val="24"/>
          <w:lang w:val="kk-KZ"/>
        </w:rPr>
      </w:pPr>
      <w:r w:rsidRPr="00877718">
        <w:rPr>
          <w:sz w:val="24"/>
          <w:szCs w:val="24"/>
          <w:lang w:val="kk-KZ"/>
        </w:rPr>
        <w:t>а) воду для диализа (определение см. 3.17), используемую для приготовления диализирующих растворов и замещающих растворов,</w:t>
      </w:r>
    </w:p>
    <w:p w:rsidR="00877718" w:rsidRPr="00877718" w:rsidRDefault="00877718" w:rsidP="00877718">
      <w:pPr>
        <w:ind w:firstLine="567"/>
        <w:rPr>
          <w:sz w:val="24"/>
          <w:szCs w:val="24"/>
          <w:lang w:val="kk-KZ"/>
        </w:rPr>
      </w:pPr>
      <w:r w:rsidRPr="00877718">
        <w:rPr>
          <w:sz w:val="24"/>
          <w:szCs w:val="24"/>
          <w:lang w:val="kk-KZ"/>
        </w:rPr>
        <w:t>b) воду для диализа, используемую для приготовления концентратов на объекте пользователя.</w:t>
      </w:r>
    </w:p>
    <w:p w:rsidR="00877718" w:rsidRPr="00877718" w:rsidRDefault="00877718" w:rsidP="00877718">
      <w:pPr>
        <w:ind w:firstLine="567"/>
        <w:rPr>
          <w:sz w:val="24"/>
          <w:szCs w:val="24"/>
          <w:lang w:val="kk-KZ"/>
        </w:rPr>
      </w:pPr>
      <w:r w:rsidRPr="00877718">
        <w:rPr>
          <w:sz w:val="24"/>
          <w:szCs w:val="24"/>
          <w:lang w:val="kk-KZ"/>
        </w:rPr>
        <w:t>c) концентраты,</w:t>
      </w:r>
    </w:p>
    <w:p w:rsidR="00877718" w:rsidRPr="00877718" w:rsidRDefault="00877718" w:rsidP="00877718">
      <w:pPr>
        <w:ind w:firstLine="567"/>
        <w:rPr>
          <w:sz w:val="24"/>
          <w:szCs w:val="24"/>
          <w:lang w:val="kk-KZ"/>
        </w:rPr>
      </w:pPr>
      <w:r w:rsidRPr="00877718">
        <w:rPr>
          <w:sz w:val="24"/>
          <w:szCs w:val="24"/>
          <w:lang w:val="kk-KZ"/>
        </w:rPr>
        <w:t xml:space="preserve">d) конечный диализирующий раствор и замещающий раствор. </w:t>
      </w:r>
    </w:p>
    <w:p w:rsidR="00877718" w:rsidRPr="00877718" w:rsidRDefault="00877718" w:rsidP="00877718">
      <w:pPr>
        <w:ind w:firstLine="567"/>
        <w:rPr>
          <w:sz w:val="24"/>
          <w:szCs w:val="24"/>
          <w:lang w:val="kk-KZ"/>
        </w:rPr>
      </w:pPr>
      <w:r w:rsidRPr="00877718">
        <w:rPr>
          <w:sz w:val="24"/>
          <w:szCs w:val="24"/>
          <w:lang w:val="kk-KZ"/>
        </w:rPr>
        <w:t>Область применения настоящего стандарта включает в себя:</w:t>
      </w:r>
    </w:p>
    <w:p w:rsidR="00877718" w:rsidRDefault="00877718" w:rsidP="00877718">
      <w:pPr>
        <w:ind w:firstLine="567"/>
        <w:rPr>
          <w:sz w:val="24"/>
          <w:szCs w:val="24"/>
          <w:lang w:val="kk-KZ"/>
        </w:rPr>
      </w:pPr>
      <w:r w:rsidRPr="00877718">
        <w:rPr>
          <w:sz w:val="24"/>
          <w:szCs w:val="24"/>
          <w:lang w:val="kk-KZ"/>
        </w:rPr>
        <w:t xml:space="preserve">а) управление качеством оборудования, используемого для подготовки и распределения воды, используемой для приготовления диализирующих растворов и замещающих растворов, от точки, в которой муниципальная вода поступает в установку </w:t>
      </w:r>
    </w:p>
    <w:p w:rsidR="00877718" w:rsidRDefault="00877718" w:rsidP="00877718">
      <w:pPr>
        <w:pBdr>
          <w:bottom w:val="single" w:sz="4" w:space="1" w:color="auto"/>
        </w:pBdr>
        <w:ind w:firstLine="567"/>
        <w:rPr>
          <w:sz w:val="24"/>
          <w:szCs w:val="24"/>
          <w:lang w:val="kk-KZ"/>
        </w:rPr>
      </w:pPr>
    </w:p>
    <w:p w:rsidR="00877718" w:rsidRDefault="00877718" w:rsidP="00877718">
      <w:pPr>
        <w:ind w:firstLine="567"/>
        <w:rPr>
          <w:sz w:val="24"/>
          <w:szCs w:val="24"/>
          <w:lang w:val="kk-KZ"/>
        </w:rPr>
      </w:pPr>
      <w:r w:rsidRPr="009C2FBB">
        <w:rPr>
          <w:rStyle w:val="FontStyle45"/>
          <w:rFonts w:ascii="Times New Roman" w:cs="Times New Roman"/>
          <w:color w:val="auto"/>
          <w:lang w:val="kk-KZ" w:eastAsia="en-US"/>
        </w:rPr>
        <w:t>Проект, редакция 1</w:t>
      </w:r>
    </w:p>
    <w:p w:rsidR="00877718" w:rsidRPr="00877718" w:rsidRDefault="00877718" w:rsidP="00877718">
      <w:pPr>
        <w:ind w:firstLine="0"/>
        <w:rPr>
          <w:sz w:val="24"/>
          <w:szCs w:val="24"/>
          <w:lang w:val="kk-KZ"/>
        </w:rPr>
      </w:pPr>
      <w:r w:rsidRPr="00877718">
        <w:rPr>
          <w:sz w:val="24"/>
          <w:szCs w:val="24"/>
          <w:lang w:val="kk-KZ"/>
        </w:rPr>
        <w:lastRenderedPageBreak/>
        <w:t>для диализа, до точки, в которой конечный диализную установку поступает в диализатор, или точки, в которой вводится замещающий раствор.</w:t>
      </w:r>
    </w:p>
    <w:p w:rsidR="00877718" w:rsidRPr="00877718" w:rsidRDefault="00877718" w:rsidP="00877718">
      <w:pPr>
        <w:ind w:firstLine="567"/>
        <w:rPr>
          <w:sz w:val="24"/>
          <w:szCs w:val="24"/>
          <w:lang w:val="kk-KZ"/>
        </w:rPr>
      </w:pPr>
      <w:r w:rsidRPr="00877718">
        <w:rPr>
          <w:sz w:val="24"/>
          <w:szCs w:val="24"/>
          <w:lang w:val="kk-KZ"/>
        </w:rPr>
        <w:t>b) оборудование, используемое для приготовления концентрата из порошка или других высококонцентрированных сред в отделении диализа;</w:t>
      </w:r>
    </w:p>
    <w:p w:rsidR="00877718" w:rsidRPr="00877718" w:rsidRDefault="00877718" w:rsidP="00877718">
      <w:pPr>
        <w:ind w:firstLine="567"/>
        <w:rPr>
          <w:sz w:val="24"/>
          <w:szCs w:val="24"/>
          <w:lang w:val="kk-KZ"/>
        </w:rPr>
      </w:pPr>
      <w:r w:rsidRPr="00877718">
        <w:rPr>
          <w:sz w:val="24"/>
          <w:szCs w:val="24"/>
          <w:lang w:val="kk-KZ"/>
        </w:rPr>
        <w:t>c) приготовление конечного диализирующего раствора или замещающего раствора из воды для диализа и концентратов.</w:t>
      </w:r>
    </w:p>
    <w:p w:rsidR="00877718" w:rsidRDefault="00877718" w:rsidP="004D53F2">
      <w:pPr>
        <w:ind w:firstLine="567"/>
        <w:rPr>
          <w:sz w:val="24"/>
          <w:szCs w:val="24"/>
          <w:lang w:val="kk-KZ"/>
        </w:rPr>
      </w:pPr>
    </w:p>
    <w:p w:rsidR="00877718" w:rsidRPr="00877718" w:rsidRDefault="00877718" w:rsidP="004D53F2">
      <w:pPr>
        <w:ind w:firstLine="567"/>
        <w:rPr>
          <w:lang w:val="kk-KZ"/>
        </w:rPr>
      </w:pPr>
      <w:r w:rsidRPr="00877718">
        <w:rPr>
          <w:lang w:val="kk-KZ"/>
        </w:rPr>
        <w:t>Примечание – Поскольку вода, используемая для приготовления диализирующего раствора, может также использоваться для повторной обработки диализатора, не помеченных как предназначенные для однократного применения, этот аспект использования воды также охватывается настоящим стандартом.</w:t>
      </w:r>
    </w:p>
    <w:p w:rsidR="00D44A53" w:rsidRDefault="00D44A53" w:rsidP="00877718">
      <w:pPr>
        <w:ind w:firstLine="567"/>
        <w:rPr>
          <w:sz w:val="24"/>
          <w:szCs w:val="24"/>
          <w:lang w:val="kk-KZ"/>
        </w:rPr>
      </w:pPr>
    </w:p>
    <w:p w:rsidR="00877718" w:rsidRDefault="00877718" w:rsidP="00877718">
      <w:pPr>
        <w:ind w:firstLine="567"/>
        <w:rPr>
          <w:sz w:val="24"/>
          <w:szCs w:val="24"/>
          <w:lang w:val="kk-KZ"/>
        </w:rPr>
      </w:pPr>
      <w:r w:rsidRPr="00877718">
        <w:rPr>
          <w:sz w:val="24"/>
          <w:szCs w:val="24"/>
          <w:lang w:val="kk-KZ"/>
        </w:rPr>
        <w:t>Настоящий стандарт не распространяется на системы регенерации диализирующего раствора на основе сорбционного метода, которые регенерируют и рециркулируют небольшие объемы диализирующего раствора, системы непрерывной заместительной почечной терапии, использующие предварительно упакованные растворы, а также системы и растворы для перитонеального диализа.</w:t>
      </w:r>
    </w:p>
    <w:p w:rsidR="00877718" w:rsidRDefault="00877718" w:rsidP="00877718">
      <w:pPr>
        <w:ind w:firstLine="567"/>
        <w:rPr>
          <w:sz w:val="24"/>
          <w:szCs w:val="24"/>
          <w:lang w:val="kk-KZ"/>
        </w:rPr>
      </w:pPr>
    </w:p>
    <w:p w:rsidR="00ED6E8C" w:rsidRPr="004636A8" w:rsidRDefault="00ED6E8C" w:rsidP="004636A8">
      <w:pPr>
        <w:ind w:firstLine="567"/>
        <w:rPr>
          <w:b/>
          <w:sz w:val="24"/>
          <w:szCs w:val="24"/>
        </w:rPr>
      </w:pPr>
      <w:r w:rsidRPr="004636A8">
        <w:rPr>
          <w:b/>
          <w:sz w:val="24"/>
          <w:szCs w:val="24"/>
        </w:rPr>
        <w:t>2 Нормативные ссылки</w:t>
      </w:r>
    </w:p>
    <w:p w:rsidR="007C6856" w:rsidRPr="004636A8" w:rsidRDefault="007C6856" w:rsidP="004636A8">
      <w:pPr>
        <w:ind w:firstLine="567"/>
        <w:rPr>
          <w:sz w:val="24"/>
          <w:szCs w:val="24"/>
          <w:highlight w:val="yellow"/>
        </w:rPr>
      </w:pPr>
    </w:p>
    <w:p w:rsidR="00656FB4" w:rsidRPr="004636A8" w:rsidRDefault="00656FB4" w:rsidP="004636A8">
      <w:pPr>
        <w:ind w:firstLine="567"/>
        <w:rPr>
          <w:sz w:val="24"/>
          <w:szCs w:val="24"/>
        </w:rPr>
      </w:pPr>
      <w:r w:rsidRPr="004636A8">
        <w:rPr>
          <w:sz w:val="24"/>
          <w:szCs w:val="24"/>
        </w:rPr>
        <w:t xml:space="preserve">Для применения настоящего стандарта необходимы следующие ссылочные </w:t>
      </w:r>
      <w:r w:rsidR="009C2FBB">
        <w:rPr>
          <w:sz w:val="24"/>
          <w:szCs w:val="24"/>
          <w:lang w:val="kk-KZ"/>
        </w:rPr>
        <w:t>документы по стандартизации</w:t>
      </w:r>
      <w:r w:rsidRPr="004636A8">
        <w:rPr>
          <w:sz w:val="24"/>
          <w:szCs w:val="24"/>
        </w:rPr>
        <w:t>. Для датированных ссылок применяют только указанное издание ссылочного документа</w:t>
      </w:r>
      <w:r w:rsidR="009C2FBB">
        <w:rPr>
          <w:sz w:val="24"/>
          <w:szCs w:val="24"/>
          <w:lang w:val="kk-KZ"/>
        </w:rPr>
        <w:t xml:space="preserve"> по стандартизации</w:t>
      </w:r>
      <w:r w:rsidRPr="004636A8">
        <w:rPr>
          <w:sz w:val="24"/>
          <w:szCs w:val="24"/>
        </w:rPr>
        <w:t>, для недатированных ссылок применяют последнее издание ссылочного документа</w:t>
      </w:r>
      <w:r w:rsidR="009C2FBB">
        <w:rPr>
          <w:sz w:val="24"/>
          <w:szCs w:val="24"/>
          <w:lang w:val="kk-KZ"/>
        </w:rPr>
        <w:t xml:space="preserve"> по стандартизации</w:t>
      </w:r>
      <w:r w:rsidRPr="004636A8">
        <w:rPr>
          <w:sz w:val="24"/>
          <w:szCs w:val="24"/>
        </w:rPr>
        <w:t xml:space="preserve"> (включая все его изменения):</w:t>
      </w:r>
    </w:p>
    <w:p w:rsidR="009C2FBB" w:rsidRDefault="009C2FBB" w:rsidP="009C2FBB">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ISO 23500-3:2019</w:t>
      </w:r>
      <w:r w:rsidRPr="009C2FBB">
        <w:rPr>
          <w:rStyle w:val="FontStyle45"/>
          <w:rFonts w:ascii="Times New Roman" w:cs="Times New Roman"/>
          <w:b w:val="0"/>
          <w:color w:val="auto"/>
          <w:lang w:val="kk-KZ" w:eastAsia="en-US"/>
        </w:rPr>
        <w:t xml:space="preserve"> Preparation and quality management of fluids for haemodialysis and related therapies — Part 3: Water for haemodialysis and related therapies </w:t>
      </w:r>
      <w:r>
        <w:rPr>
          <w:rStyle w:val="FontStyle45"/>
          <w:rFonts w:ascii="Times New Roman" w:cs="Times New Roman"/>
          <w:b w:val="0"/>
          <w:color w:val="auto"/>
          <w:lang w:val="kk-KZ" w:eastAsia="en-US"/>
        </w:rPr>
        <w:t>(</w:t>
      </w:r>
      <w:r w:rsidRPr="009C2FBB">
        <w:rPr>
          <w:rStyle w:val="FontStyle45"/>
          <w:rFonts w:ascii="Times New Roman" w:cs="Times New Roman"/>
          <w:b w:val="0"/>
          <w:color w:val="auto"/>
          <w:lang w:val="kk-KZ" w:eastAsia="en-US"/>
        </w:rPr>
        <w:t>Подготовка жидкостей для гемодиализа и сопутствующей терапии и менеджмент качества</w:t>
      </w:r>
      <w:r>
        <w:rPr>
          <w:rStyle w:val="FontStyle45"/>
          <w:rFonts w:ascii="Times New Roman" w:cs="Times New Roman"/>
          <w:b w:val="0"/>
          <w:color w:val="auto"/>
          <w:lang w:val="kk-KZ" w:eastAsia="en-US"/>
        </w:rPr>
        <w:t xml:space="preserve"> </w:t>
      </w:r>
      <w:r w:rsidRPr="009C2FBB">
        <w:rPr>
          <w:rStyle w:val="FontStyle45"/>
          <w:rFonts w:ascii="Times New Roman" w:cs="Times New Roman"/>
          <w:b w:val="0"/>
          <w:color w:val="auto"/>
          <w:lang w:val="kk-KZ" w:eastAsia="en-US"/>
        </w:rPr>
        <w:t>— Часть 3:  Качество воды для гемодиализа и сопутствующей терапии</w:t>
      </w:r>
      <w:r>
        <w:rPr>
          <w:rStyle w:val="FontStyle45"/>
          <w:rFonts w:ascii="Times New Roman" w:cs="Times New Roman"/>
          <w:b w:val="0"/>
          <w:color w:val="auto"/>
          <w:lang w:val="kk-KZ" w:eastAsia="en-US"/>
        </w:rPr>
        <w:t>).</w:t>
      </w:r>
    </w:p>
    <w:p w:rsidR="009C2FBB" w:rsidRPr="00877718" w:rsidRDefault="00877718" w:rsidP="00877718">
      <w:pPr>
        <w:pStyle w:val="Style30"/>
        <w:widowControl/>
        <w:ind w:firstLine="567"/>
        <w:rPr>
          <w:rStyle w:val="FontStyle45"/>
          <w:rFonts w:ascii="Times New Roman" w:cs="Times New Roman"/>
          <w:b w:val="0"/>
          <w:color w:val="auto"/>
          <w:lang w:val="en-US" w:eastAsia="en-US"/>
        </w:rPr>
      </w:pPr>
      <w:r w:rsidRPr="00877718">
        <w:rPr>
          <w:rStyle w:val="FontStyle45"/>
          <w:rFonts w:ascii="Times New Roman" w:cs="Times New Roman"/>
          <w:b w:val="0"/>
          <w:color w:val="auto"/>
          <w:lang w:val="en-US" w:eastAsia="en-US"/>
        </w:rPr>
        <w:t>ISO 23500-4:2019</w:t>
      </w:r>
      <w:r>
        <w:rPr>
          <w:rStyle w:val="FontStyle45"/>
          <w:rFonts w:ascii="Times New Roman" w:cs="Times New Roman"/>
          <w:b w:val="0"/>
          <w:color w:val="auto"/>
          <w:lang w:val="en-US" w:eastAsia="en-US"/>
        </w:rPr>
        <w:t xml:space="preserve"> </w:t>
      </w:r>
      <w:r w:rsidRPr="00877718">
        <w:rPr>
          <w:rStyle w:val="FontStyle45"/>
          <w:rFonts w:ascii="Times New Roman" w:cs="Times New Roman"/>
          <w:b w:val="0"/>
          <w:color w:val="auto"/>
          <w:lang w:val="en-US" w:eastAsia="en-US"/>
        </w:rPr>
        <w:t>Preparation and quality management of fluids for haemodialysis and related therapies — Part 4: Concentrates for haemodialysis and related therapies</w:t>
      </w:r>
      <w:r>
        <w:rPr>
          <w:rStyle w:val="FontStyle45"/>
          <w:rFonts w:ascii="Times New Roman" w:cs="Times New Roman"/>
          <w:b w:val="0"/>
          <w:color w:val="auto"/>
          <w:lang w:val="en-US" w:eastAsia="en-US"/>
        </w:rPr>
        <w:t xml:space="preserve"> (</w:t>
      </w:r>
      <w:r w:rsidR="00611D6E" w:rsidRPr="00611D6E">
        <w:rPr>
          <w:rStyle w:val="FontStyle45"/>
          <w:rFonts w:ascii="Times New Roman" w:cs="Times New Roman"/>
          <w:b w:val="0"/>
          <w:color w:val="auto"/>
          <w:lang w:val="en-US" w:eastAsia="en-US"/>
        </w:rPr>
        <w:t xml:space="preserve">Подготовка жидкостей для гемодиализа и сопутствующей терапии и менеджмент качества. </w:t>
      </w:r>
      <w:proofErr w:type="gramStart"/>
      <w:r w:rsidR="00611D6E" w:rsidRPr="00611D6E">
        <w:rPr>
          <w:rStyle w:val="FontStyle45"/>
          <w:rFonts w:ascii="Times New Roman" w:cs="Times New Roman"/>
          <w:b w:val="0"/>
          <w:color w:val="auto"/>
          <w:lang w:val="en-US" w:eastAsia="en-US"/>
        </w:rPr>
        <w:t>Часть 4.</w:t>
      </w:r>
      <w:proofErr w:type="gramEnd"/>
      <w:r w:rsidR="00611D6E" w:rsidRPr="00611D6E">
        <w:rPr>
          <w:rStyle w:val="FontStyle45"/>
          <w:rFonts w:ascii="Times New Roman" w:cs="Times New Roman"/>
          <w:b w:val="0"/>
          <w:color w:val="auto"/>
          <w:lang w:val="en-US" w:eastAsia="en-US"/>
        </w:rPr>
        <w:t xml:space="preserve"> </w:t>
      </w:r>
      <w:proofErr w:type="gramStart"/>
      <w:r w:rsidR="00611D6E" w:rsidRPr="00611D6E">
        <w:rPr>
          <w:rStyle w:val="FontStyle45"/>
          <w:rFonts w:ascii="Times New Roman" w:cs="Times New Roman"/>
          <w:b w:val="0"/>
          <w:color w:val="auto"/>
          <w:lang w:val="en-US" w:eastAsia="en-US"/>
        </w:rPr>
        <w:t>Концентраты для гемодиализа и сопутствующей терапии</w:t>
      </w:r>
      <w:r>
        <w:rPr>
          <w:rStyle w:val="FontStyle45"/>
          <w:rFonts w:ascii="Times New Roman" w:cs="Times New Roman"/>
          <w:b w:val="0"/>
          <w:color w:val="auto"/>
          <w:lang w:val="en-US" w:eastAsia="en-US"/>
        </w:rPr>
        <w:t>).</w:t>
      </w:r>
      <w:proofErr w:type="gramEnd"/>
    </w:p>
    <w:p w:rsidR="00877718" w:rsidRPr="00611D6E" w:rsidRDefault="00877718" w:rsidP="00877718">
      <w:pPr>
        <w:pStyle w:val="Style30"/>
        <w:widowControl/>
        <w:ind w:firstLine="567"/>
        <w:rPr>
          <w:rStyle w:val="FontStyle45"/>
          <w:rFonts w:ascii="Times New Roman" w:cs="Times New Roman"/>
          <w:b w:val="0"/>
          <w:color w:val="auto"/>
          <w:lang w:eastAsia="en-US"/>
        </w:rPr>
      </w:pPr>
      <w:r w:rsidRPr="00877718">
        <w:rPr>
          <w:rStyle w:val="FontStyle45"/>
          <w:rFonts w:ascii="Times New Roman" w:cs="Times New Roman"/>
          <w:b w:val="0"/>
          <w:color w:val="auto"/>
          <w:lang w:val="kk-KZ" w:eastAsia="en-US"/>
        </w:rPr>
        <w:t>ISO 23500-5:2019</w:t>
      </w:r>
      <w:r>
        <w:rPr>
          <w:rStyle w:val="FontStyle45"/>
          <w:rFonts w:ascii="Times New Roman" w:cs="Times New Roman"/>
          <w:b w:val="0"/>
          <w:color w:val="auto"/>
          <w:lang w:val="en-US" w:eastAsia="en-US"/>
        </w:rPr>
        <w:t xml:space="preserve"> </w:t>
      </w:r>
      <w:r w:rsidRPr="00877718">
        <w:rPr>
          <w:rStyle w:val="FontStyle45"/>
          <w:rFonts w:ascii="Times New Roman" w:cs="Times New Roman"/>
          <w:b w:val="0"/>
          <w:color w:val="auto"/>
          <w:lang w:val="kk-KZ" w:eastAsia="en-US"/>
        </w:rPr>
        <w:t>Preparation and quality management of fluids for haemodialysis and related therapies — Part 5: Quality of dialysis fluid for haemodialysis and related therapies</w:t>
      </w:r>
      <w:r>
        <w:rPr>
          <w:rStyle w:val="FontStyle45"/>
          <w:rFonts w:ascii="Times New Roman" w:cs="Times New Roman"/>
          <w:b w:val="0"/>
          <w:color w:val="auto"/>
          <w:lang w:val="en-US" w:eastAsia="en-US"/>
        </w:rPr>
        <w:t xml:space="preserve"> (</w:t>
      </w:r>
      <w:r w:rsidR="00611D6E" w:rsidRPr="00611D6E">
        <w:rPr>
          <w:rStyle w:val="FontStyle45"/>
          <w:rFonts w:ascii="Times New Roman" w:cs="Times New Roman"/>
          <w:b w:val="0"/>
          <w:color w:val="auto"/>
          <w:lang w:val="en-US" w:eastAsia="en-US"/>
        </w:rPr>
        <w:t xml:space="preserve">Подготовка жидкостей для гемодиализа и сопутствующей терапии и менеджмент качества. </w:t>
      </w:r>
      <w:r w:rsidR="00611D6E" w:rsidRPr="00611D6E">
        <w:rPr>
          <w:rStyle w:val="FontStyle45"/>
          <w:rFonts w:ascii="Times New Roman" w:cs="Times New Roman"/>
          <w:b w:val="0"/>
          <w:color w:val="auto"/>
          <w:lang w:eastAsia="en-US"/>
        </w:rPr>
        <w:t xml:space="preserve">Часть 5. </w:t>
      </w:r>
      <w:proofErr w:type="gramStart"/>
      <w:r w:rsidR="00611D6E" w:rsidRPr="00611D6E">
        <w:rPr>
          <w:rStyle w:val="FontStyle45"/>
          <w:rFonts w:ascii="Times New Roman" w:cs="Times New Roman"/>
          <w:b w:val="0"/>
          <w:color w:val="auto"/>
          <w:lang w:eastAsia="en-US"/>
        </w:rPr>
        <w:t>Качество жидкостей для гемодиализа и сопутствующей терапии</w:t>
      </w:r>
      <w:r w:rsidRPr="00611D6E">
        <w:rPr>
          <w:rStyle w:val="FontStyle45"/>
          <w:rFonts w:ascii="Times New Roman" w:cs="Times New Roman"/>
          <w:b w:val="0"/>
          <w:color w:val="auto"/>
          <w:lang w:eastAsia="en-US"/>
        </w:rPr>
        <w:t xml:space="preserve">). </w:t>
      </w:r>
      <w:proofErr w:type="gramEnd"/>
    </w:p>
    <w:p w:rsidR="00877718" w:rsidRPr="00611D6E" w:rsidRDefault="00877718" w:rsidP="00877718">
      <w:pPr>
        <w:pStyle w:val="Style30"/>
        <w:widowControl/>
        <w:ind w:firstLine="567"/>
        <w:rPr>
          <w:rStyle w:val="FontStyle45"/>
          <w:rFonts w:ascii="Times New Roman" w:cs="Times New Roman"/>
          <w:b w:val="0"/>
          <w:color w:val="auto"/>
          <w:lang w:eastAsia="en-US"/>
        </w:rPr>
      </w:pPr>
    </w:p>
    <w:p w:rsidR="00063FCB" w:rsidRPr="004636A8" w:rsidRDefault="00063FCB" w:rsidP="005667DC">
      <w:pPr>
        <w:pStyle w:val="Style30"/>
        <w:widowControl/>
        <w:ind w:firstLine="567"/>
        <w:rPr>
          <w:rStyle w:val="FontStyle45"/>
          <w:rFonts w:ascii="Times New Roman" w:cs="Times New Roman"/>
          <w:color w:val="auto"/>
          <w:lang w:val="kk-KZ" w:eastAsia="en-US"/>
        </w:rPr>
      </w:pPr>
      <w:r w:rsidRPr="004636A8">
        <w:rPr>
          <w:rStyle w:val="FontStyle45"/>
          <w:rFonts w:ascii="Times New Roman" w:cs="Times New Roman"/>
          <w:color w:val="auto"/>
          <w:lang w:val="kk-KZ" w:eastAsia="en-US"/>
        </w:rPr>
        <w:t>3 Термины и определения</w:t>
      </w:r>
    </w:p>
    <w:p w:rsidR="00063FCB" w:rsidRPr="004636A8" w:rsidRDefault="00063FCB" w:rsidP="005667DC">
      <w:pPr>
        <w:pStyle w:val="Style30"/>
        <w:widowControl/>
        <w:ind w:firstLine="567"/>
        <w:rPr>
          <w:rStyle w:val="FontStyle45"/>
          <w:rFonts w:ascii="Times New Roman" w:cs="Times New Roman"/>
          <w:b w:val="0"/>
          <w:color w:val="auto"/>
          <w:highlight w:val="yellow"/>
          <w:lang w:val="kk-KZ" w:eastAsia="en-US"/>
        </w:rPr>
      </w:pPr>
    </w:p>
    <w:p w:rsidR="00877C9D" w:rsidRDefault="004636A8" w:rsidP="004636A8">
      <w:pPr>
        <w:pStyle w:val="Style8"/>
        <w:widowControl/>
        <w:ind w:firstLine="567"/>
        <w:rPr>
          <w:rFonts w:ascii="Times New Roman" w:hAnsi="Times New Roman" w:cs="Times New Roman"/>
          <w:lang w:val="kk-KZ"/>
        </w:rPr>
      </w:pPr>
      <w:r w:rsidRPr="004636A8">
        <w:rPr>
          <w:rFonts w:ascii="Times New Roman" w:hAnsi="Times New Roman" w:cs="Times New Roman"/>
          <w:lang w:val="kk-KZ"/>
        </w:rPr>
        <w:t xml:space="preserve">В настоящем стандарте применяются (используются) </w:t>
      </w:r>
      <w:r w:rsidR="00611D6E">
        <w:rPr>
          <w:rFonts w:ascii="Times New Roman" w:hAnsi="Times New Roman" w:cs="Times New Roman"/>
          <w:lang w:val="kk-KZ"/>
        </w:rPr>
        <w:t>следующие</w:t>
      </w:r>
      <w:r w:rsidR="00D44A53">
        <w:rPr>
          <w:rFonts w:ascii="Times New Roman" w:hAnsi="Times New Roman" w:cs="Times New Roman"/>
          <w:lang w:val="kk-KZ"/>
        </w:rPr>
        <w:t xml:space="preserve"> термин</w:t>
      </w:r>
      <w:r w:rsidR="00611D6E">
        <w:rPr>
          <w:rFonts w:ascii="Times New Roman" w:hAnsi="Times New Roman" w:cs="Times New Roman"/>
          <w:lang w:val="kk-KZ"/>
        </w:rPr>
        <w:t>ы</w:t>
      </w:r>
      <w:r w:rsidR="00D44A53">
        <w:rPr>
          <w:rFonts w:ascii="Times New Roman" w:hAnsi="Times New Roman" w:cs="Times New Roman"/>
          <w:lang w:val="kk-KZ"/>
        </w:rPr>
        <w:t xml:space="preserve"> с соответствующим</w:t>
      </w:r>
      <w:r w:rsidR="00611D6E">
        <w:rPr>
          <w:rFonts w:ascii="Times New Roman" w:hAnsi="Times New Roman" w:cs="Times New Roman"/>
          <w:lang w:val="kk-KZ"/>
        </w:rPr>
        <w:t>и определения</w:t>
      </w:r>
      <w:r w:rsidR="00D44A53">
        <w:rPr>
          <w:rFonts w:ascii="Times New Roman" w:hAnsi="Times New Roman" w:cs="Times New Roman"/>
          <w:lang w:val="kk-KZ"/>
        </w:rPr>
        <w:t>м</w:t>
      </w:r>
      <w:r w:rsidR="00611D6E">
        <w:rPr>
          <w:rFonts w:ascii="Times New Roman" w:hAnsi="Times New Roman" w:cs="Times New Roman"/>
          <w:lang w:val="kk-KZ"/>
        </w:rPr>
        <w:t>и</w:t>
      </w:r>
      <w:r w:rsidR="00D44A53">
        <w:rPr>
          <w:rFonts w:ascii="Times New Roman" w:hAnsi="Times New Roman" w:cs="Times New Roman"/>
          <w:lang w:val="kk-KZ"/>
        </w:rPr>
        <w:t>:</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 </w:t>
      </w:r>
      <w:r w:rsidRPr="00611D6E">
        <w:rPr>
          <w:rFonts w:ascii="Times New Roman" w:hAnsi="Times New Roman" w:cs="Times New Roman"/>
          <w:b/>
          <w:lang w:val="kk-KZ"/>
        </w:rPr>
        <w:t>Ацетатный концентрат</w:t>
      </w:r>
      <w:r w:rsidRPr="00611D6E">
        <w:rPr>
          <w:rFonts w:ascii="Times New Roman" w:hAnsi="Times New Roman" w:cs="Times New Roman"/>
          <w:lang w:val="kk-KZ"/>
        </w:rPr>
        <w:t xml:space="preserve"> (acetate concentrate): Концентрированный раствор солей, содержащий ацетат, который при разведении водой для диализа образует свободный от бикарбонатов диализирующий раствор для использования при диализе.</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 xml:space="preserve">1 Ацетатный концентрат может содержать глюкозу. </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Ацетат натрия используется для обеспечения буфера вместо бикарбоната натрия.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3 Ацетатный концентрат используется как унифицированный концентрат.</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rPr>
      </w:pPr>
      <w:r w:rsidRPr="00611D6E">
        <w:rPr>
          <w:rFonts w:ascii="Times New Roman" w:hAnsi="Times New Roman" w:cs="Times New Roman"/>
          <w:lang w:val="kk-KZ"/>
        </w:rPr>
        <w:lastRenderedPageBreak/>
        <w:t xml:space="preserve">3.2 </w:t>
      </w:r>
      <w:r>
        <w:rPr>
          <w:rFonts w:ascii="Times New Roman" w:hAnsi="Times New Roman" w:cs="Times New Roman"/>
          <w:lang w:val="kk-KZ"/>
        </w:rPr>
        <w:t xml:space="preserve"> </w:t>
      </w:r>
      <w:r w:rsidRPr="00611D6E">
        <w:rPr>
          <w:rFonts w:ascii="Times New Roman" w:hAnsi="Times New Roman" w:cs="Times New Roman"/>
          <w:b/>
          <w:lang w:val="kk-KZ"/>
        </w:rPr>
        <w:t>Кислотный (кислотосодержащий) концентрат</w:t>
      </w:r>
      <w:r w:rsidRPr="00611D6E">
        <w:rPr>
          <w:rFonts w:ascii="Times New Roman" w:hAnsi="Times New Roman" w:cs="Times New Roman"/>
          <w:lang w:val="kk-KZ"/>
        </w:rPr>
        <w:t xml:space="preserve"> (acid concentrate</w:t>
      </w:r>
      <w:r>
        <w:rPr>
          <w:rFonts w:ascii="Times New Roman" w:hAnsi="Times New Roman" w:cs="Times New Roman"/>
        </w:rPr>
        <w:t>)</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b/>
          <w:lang w:val="kk-KZ"/>
        </w:rPr>
        <w:t>А-концентрат</w:t>
      </w:r>
      <w:r w:rsidRPr="00611D6E">
        <w:rPr>
          <w:rFonts w:ascii="Times New Roman" w:hAnsi="Times New Roman" w:cs="Times New Roman"/>
          <w:lang w:val="kk-KZ"/>
        </w:rPr>
        <w:t xml:space="preserve"> </w:t>
      </w:r>
      <w:r>
        <w:rPr>
          <w:rFonts w:ascii="Times New Roman" w:hAnsi="Times New Roman" w:cs="Times New Roman"/>
          <w:lang w:val="kk-KZ"/>
        </w:rPr>
        <w:t>(</w:t>
      </w:r>
      <w:r w:rsidRPr="00611D6E">
        <w:rPr>
          <w:rFonts w:ascii="Times New Roman" w:hAnsi="Times New Roman" w:cs="Times New Roman"/>
          <w:lang w:val="kk-KZ"/>
        </w:rPr>
        <w:t>A-concentrate): Подкисленная концентрированная смесь солей, которая при разведении водой для диализа с бикарбонатным концентратом образуют диализирующий раствор для использования при диализе.</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Термин «кислотный» относится к небольшому количеству кислоты (обычно уксусной или лимонной кислоты), включенной в концентрат.</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Кислотный концентрат может содержать глюкозу.</w:t>
      </w:r>
    </w:p>
    <w:p w:rsidR="00656FB4"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3 Кислотный концентрат может быть в виде жидкости, сухого порошка. других высококонцентрированных сред или комбинации этих форм.</w:t>
      </w:r>
    </w:p>
    <w:p w:rsid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3.3</w:t>
      </w:r>
      <w:r>
        <w:rPr>
          <w:rFonts w:ascii="Times New Roman" w:hAnsi="Times New Roman" w:cs="Times New Roman"/>
          <w:lang w:val="kk-KZ"/>
        </w:rPr>
        <w:t xml:space="preserve"> </w:t>
      </w:r>
      <w:r w:rsidRPr="00611D6E">
        <w:rPr>
          <w:rFonts w:ascii="Times New Roman" w:hAnsi="Times New Roman" w:cs="Times New Roman"/>
          <w:b/>
          <w:lang w:val="kk-KZ"/>
        </w:rPr>
        <w:t>Уровень действия</w:t>
      </w:r>
      <w:r w:rsidRPr="00611D6E">
        <w:rPr>
          <w:rFonts w:ascii="Times New Roman" w:hAnsi="Times New Roman" w:cs="Times New Roman"/>
          <w:lang w:val="kk-KZ"/>
        </w:rPr>
        <w:t xml:space="preserve"> (action level): Концентрация загрязняющего вещества, при которой следует предпринять шаги для прерывания тенденции к более высоким, неприемлемым уровням.</w:t>
      </w: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3.4</w:t>
      </w:r>
      <w:r>
        <w:rPr>
          <w:rFonts w:ascii="Times New Roman" w:hAnsi="Times New Roman" w:cs="Times New Roman"/>
          <w:lang w:val="kk-KZ"/>
        </w:rPr>
        <w:t xml:space="preserve"> </w:t>
      </w:r>
      <w:r w:rsidRPr="00611D6E">
        <w:rPr>
          <w:rFonts w:ascii="Times New Roman" w:hAnsi="Times New Roman" w:cs="Times New Roman"/>
          <w:b/>
          <w:lang w:val="kk-KZ"/>
        </w:rPr>
        <w:t>Добавка присадка</w:t>
      </w:r>
      <w:r w:rsidRPr="00611D6E">
        <w:rPr>
          <w:rFonts w:ascii="Times New Roman" w:hAnsi="Times New Roman" w:cs="Times New Roman"/>
          <w:lang w:val="kk-KZ"/>
        </w:rPr>
        <w:t xml:space="preserve"> (additive spike): Небольшое количество отдельного химического вещества, которое при добавлении в концентрат увеличивает концентрацию отдельного имеющегося химического вещества на значение, маркированное на упаковке добавки.</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3.5</w:t>
      </w:r>
      <w:r>
        <w:rPr>
          <w:rFonts w:ascii="Times New Roman" w:hAnsi="Times New Roman" w:cs="Times New Roman"/>
          <w:lang w:val="kk-KZ"/>
        </w:rPr>
        <w:t xml:space="preserve"> </w:t>
      </w:r>
      <w:r w:rsidRPr="00611D6E">
        <w:rPr>
          <w:rFonts w:ascii="Times New Roman" w:hAnsi="Times New Roman" w:cs="Times New Roman"/>
          <w:b/>
          <w:lang w:val="kk-KZ"/>
        </w:rPr>
        <w:t>Бикарбонатный концентрат В-концентрат</w:t>
      </w:r>
      <w:r w:rsidRPr="00611D6E">
        <w:rPr>
          <w:rFonts w:ascii="Times New Roman" w:hAnsi="Times New Roman" w:cs="Times New Roman"/>
          <w:lang w:val="kk-KZ"/>
        </w:rPr>
        <w:t xml:space="preserve"> (bicarbonate concentrate </w:t>
      </w:r>
      <w:r>
        <w:rPr>
          <w:rFonts w:ascii="Times New Roman" w:hAnsi="Times New Roman" w:cs="Times New Roman"/>
          <w:lang w:val="kk-KZ"/>
        </w:rPr>
        <w:t xml:space="preserve">                              </w:t>
      </w:r>
      <w:r w:rsidRPr="00611D6E">
        <w:rPr>
          <w:rFonts w:ascii="Times New Roman" w:hAnsi="Times New Roman" w:cs="Times New Roman"/>
          <w:lang w:val="kk-KZ"/>
        </w:rPr>
        <w:t>В-concentrate): Концентрированный бикарбонат натрия, который при разведении водой для диализа с кислотным концентратом образует диализирующий раствор для использования при диализе.</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Бикарбонат натрия также известен в качестве гидрокарбоната натрия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Некоторые бикарбонатные концентраты могут также содержать хлорид натрия.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3 Бикарбонатный концентрат может быть в виде жидкости или сухого порошка.</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4 Сухой бикарбонат натрия без добавления хлорида натрия также используется в генераторах концентрата для производства насыщенного раствора бикарбоната натрия, используемого диализными аппаратами для приготовления диализирующего раствора.</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3.6</w:t>
      </w:r>
      <w:r>
        <w:rPr>
          <w:rFonts w:ascii="Times New Roman" w:hAnsi="Times New Roman" w:cs="Times New Roman"/>
          <w:lang w:val="kk-KZ"/>
        </w:rPr>
        <w:t xml:space="preserve"> </w:t>
      </w:r>
      <w:r w:rsidRPr="00611D6E">
        <w:rPr>
          <w:rFonts w:ascii="Times New Roman" w:hAnsi="Times New Roman" w:cs="Times New Roman"/>
          <w:b/>
          <w:lang w:val="kk-KZ"/>
        </w:rPr>
        <w:t xml:space="preserve">Биопленка </w:t>
      </w:r>
      <w:r w:rsidRPr="00611D6E">
        <w:rPr>
          <w:rFonts w:ascii="Times New Roman" w:hAnsi="Times New Roman" w:cs="Times New Roman"/>
          <w:lang w:val="kk-KZ"/>
        </w:rPr>
        <w:t>(biofilm): Сообщество микробного происхождения характеризуется клетками, которые прикреплены к основе или поверхности раздела сред или друг к другу, погружены в выделяемое ими внеклеточное полимерное вещество (внеклеточный полимерный матрикс), и проявляют изменение поведения в отношении скорости роста и транскрипции генов.</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Внеклеточный матрикс - слизистый материал, выделяемый клетками, защищающий бактерии от антибиотиков и химических дезинфицирующих средств.</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В системах воды для диализа считается неизбежным образование определенного количества биопленки. Когда уровень биопленки таков, что уровни действия микроорганизмов и эндотоксинов в воде для диализа постоянно достигаются или превышаются, работа системы ставится под угрозу с медицинской и технической точки зрения. Такой уровень образования биопленки часто называют биообрастанием.</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3.7 </w:t>
      </w:r>
      <w:r w:rsidRPr="00611D6E">
        <w:rPr>
          <w:rFonts w:ascii="Times New Roman" w:hAnsi="Times New Roman" w:cs="Times New Roman"/>
          <w:b/>
          <w:lang w:val="kk-KZ"/>
        </w:rPr>
        <w:t>Доставка крупной тарой</w:t>
      </w:r>
      <w:r w:rsidRPr="00611D6E">
        <w:rPr>
          <w:rFonts w:ascii="Times New Roman" w:hAnsi="Times New Roman" w:cs="Times New Roman"/>
          <w:lang w:val="kk-KZ"/>
        </w:rPr>
        <w:t xml:space="preserve"> (bulk delivery): Доставка контейнеров большого объема с концентратами в отделение</w:t>
      </w:r>
      <w:r>
        <w:rPr>
          <w:rFonts w:ascii="Times New Roman" w:hAnsi="Times New Roman" w:cs="Times New Roman"/>
          <w:lang w:val="kk-KZ"/>
        </w:rPr>
        <w:t xml:space="preserve"> диализа.</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 xml:space="preserve">1 Доставка крупной тарой включает такие контейнеры, как баки, которые могут быть поставлены в накопители, обслуживаемые отделением диализа. Альтернативно баки могут быть оставлены в отделении и использоваться для заполнения контейнеров для переноса, в которых концентрат переносится к машинам </w:t>
      </w:r>
      <w:r w:rsidRPr="00611D6E">
        <w:rPr>
          <w:rFonts w:ascii="Times New Roman" w:hAnsi="Times New Roman" w:cs="Times New Roman"/>
          <w:sz w:val="20"/>
          <w:szCs w:val="20"/>
          <w:lang w:val="kk-KZ"/>
        </w:rPr>
        <w:lastRenderedPageBreak/>
        <w:t>для диализа. Доставка крупной тарой может также включать большие контейнеры для прямого подключения к центральной системе поставки концентрата.</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Доставка крупной тарой также включает сухие порошковые концентраты, предназначенные для использования с соответствующим смесителем концентратов.</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3.8 </w:t>
      </w:r>
      <w:r w:rsidRPr="00611D6E">
        <w:rPr>
          <w:rFonts w:ascii="Times New Roman" w:hAnsi="Times New Roman" w:cs="Times New Roman"/>
          <w:b/>
          <w:lang w:val="kk-KZ"/>
        </w:rPr>
        <w:t>Центральная система концентраторов</w:t>
      </w:r>
      <w:r w:rsidRPr="00611D6E">
        <w:rPr>
          <w:rFonts w:ascii="Times New Roman" w:hAnsi="Times New Roman" w:cs="Times New Roman"/>
          <w:lang w:val="kk-KZ"/>
        </w:rPr>
        <w:t xml:space="preserve"> (central concentrate system): Система, в которой готовят и/или хранят концентраты в центральной точке для последующего распределения в точки использования.</w:t>
      </w: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3.9 </w:t>
      </w:r>
      <w:r w:rsidRPr="00611D6E">
        <w:rPr>
          <w:rFonts w:ascii="Times New Roman" w:hAnsi="Times New Roman" w:cs="Times New Roman"/>
          <w:b/>
          <w:lang w:val="kk-KZ"/>
        </w:rPr>
        <w:t>Центральная система доставки диализирующего раствора</w:t>
      </w:r>
      <w:r w:rsidRPr="00611D6E">
        <w:rPr>
          <w:rFonts w:ascii="Times New Roman" w:hAnsi="Times New Roman" w:cs="Times New Roman"/>
          <w:lang w:val="kk-KZ"/>
        </w:rPr>
        <w:t xml:space="preserve"> (central dialysis fluid delivery system): Система, которая производит диализирующий раствор из воды для диализа и концентрата или порошка в центральной точке и распределяет диализирующий раствор из центральной точки в отдельные машины для диализа. </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3.10</w:t>
      </w:r>
      <w:r>
        <w:rPr>
          <w:rFonts w:ascii="Times New Roman" w:hAnsi="Times New Roman" w:cs="Times New Roman"/>
          <w:lang w:val="kk-KZ"/>
        </w:rPr>
        <w:t xml:space="preserve"> </w:t>
      </w:r>
      <w:r w:rsidRPr="00611D6E">
        <w:rPr>
          <w:rFonts w:ascii="Times New Roman" w:hAnsi="Times New Roman" w:cs="Times New Roman"/>
          <w:b/>
          <w:lang w:val="kk-KZ"/>
        </w:rPr>
        <w:t>Комбинированный хлор</w:t>
      </w:r>
      <w:r w:rsidRPr="00611D6E">
        <w:rPr>
          <w:rFonts w:ascii="Times New Roman" w:hAnsi="Times New Roman" w:cs="Times New Roman"/>
          <w:lang w:val="kk-KZ"/>
        </w:rPr>
        <w:t xml:space="preserve"> (combined chlorine): Хлор, который химически соединен.</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b/>
          <w:i/>
          <w:sz w:val="20"/>
          <w:szCs w:val="20"/>
          <w:lang w:val="kk-KZ"/>
        </w:rPr>
        <w:t>Пример</w:t>
      </w:r>
      <w:r w:rsidRPr="00611D6E">
        <w:rPr>
          <w:rFonts w:ascii="Times New Roman" w:hAnsi="Times New Roman" w:cs="Times New Roman"/>
          <w:sz w:val="20"/>
          <w:szCs w:val="20"/>
          <w:lang w:val="kk-KZ"/>
        </w:rPr>
        <w:t xml:space="preserve"> – Соединения хлорамина.</w:t>
      </w:r>
    </w:p>
    <w:p w:rsid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Не существует прямого испытания для измерения комбинированного хлора, но он может быть установлен косвенно путем измерения как общего, так и свободного хлора и вычисления разности.</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3.11 </w:t>
      </w:r>
      <w:r w:rsidRPr="00611D6E">
        <w:rPr>
          <w:rFonts w:ascii="Times New Roman" w:hAnsi="Times New Roman" w:cs="Times New Roman"/>
          <w:b/>
          <w:lang w:val="kk-KZ"/>
        </w:rPr>
        <w:t>Свободный хлор</w:t>
      </w:r>
      <w:r w:rsidRPr="00611D6E">
        <w:rPr>
          <w:rFonts w:ascii="Times New Roman" w:hAnsi="Times New Roman" w:cs="Times New Roman"/>
          <w:lang w:val="kk-KZ"/>
        </w:rPr>
        <w:t xml:space="preserve"> (free chlorine): Хлор присутствующий в воде в виде растворенного молекулярного хлора (CI), хлорноватистой кислоты (HOCI) и гипохлорит-иона (OCI-).</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sz w:val="20"/>
          <w:szCs w:val="20"/>
          <w:lang w:val="kk-KZ"/>
        </w:rPr>
        <w:t>Примечание – В равновесии существуют три формы свободного хлора</w:t>
      </w:r>
      <w:r w:rsidRPr="00611D6E">
        <w:rPr>
          <w:rFonts w:ascii="Times New Roman" w:hAnsi="Times New Roman" w:cs="Times New Roman"/>
          <w:lang w:val="kk-KZ"/>
        </w:rPr>
        <w:t>.</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3.12 </w:t>
      </w:r>
      <w:r w:rsidRPr="00611D6E">
        <w:rPr>
          <w:rFonts w:ascii="Times New Roman" w:hAnsi="Times New Roman" w:cs="Times New Roman"/>
          <w:b/>
          <w:lang w:val="kk-KZ"/>
        </w:rPr>
        <w:t>Общий хлор</w:t>
      </w:r>
      <w:r w:rsidRPr="00611D6E">
        <w:rPr>
          <w:rFonts w:ascii="Times New Roman" w:hAnsi="Times New Roman" w:cs="Times New Roman"/>
          <w:lang w:val="kk-KZ"/>
        </w:rPr>
        <w:t xml:space="preserve"> (total chlorine): Сумма свободного и связанного хлора.</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Хлор может существовать в воде в виде растворенного молекулярного хлора, хлорноватистой кислоты и/или гипохлорит-иона (свободный хлор) или в химически комбинированных формах (комбинированный хлор). Там, где хлорамин используется для обеззараживания воды, хлорамин обычно является основным компонентом комбинированного хлора.</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3.13 </w:t>
      </w:r>
      <w:r w:rsidRPr="00611D6E">
        <w:rPr>
          <w:rFonts w:ascii="Times New Roman" w:hAnsi="Times New Roman" w:cs="Times New Roman"/>
          <w:b/>
          <w:lang w:val="kk-KZ"/>
        </w:rPr>
        <w:t>Колониеобразующая единица; КОЕ</w:t>
      </w:r>
      <w:r w:rsidRPr="00611D6E">
        <w:rPr>
          <w:rFonts w:ascii="Times New Roman" w:hAnsi="Times New Roman" w:cs="Times New Roman"/>
          <w:lang w:val="kk-KZ"/>
        </w:rPr>
        <w:t xml:space="preserve"> (colony-forming unit CFU): Совокупность бактериальных или грибковых клеток, которые теоретически возникают из одной клетки при выращивании на твердых средах.</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Колонии могут также образовываться из групп организмов, когда они встречаются в агрегатах.</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3.14 </w:t>
      </w:r>
      <w:r w:rsidRPr="00611D6E">
        <w:rPr>
          <w:rFonts w:ascii="Times New Roman" w:hAnsi="Times New Roman" w:cs="Times New Roman"/>
          <w:b/>
          <w:lang w:val="kk-KZ"/>
        </w:rPr>
        <w:t>Генератор концентрата</w:t>
      </w:r>
      <w:r w:rsidRPr="00611D6E">
        <w:rPr>
          <w:rFonts w:ascii="Times New Roman" w:hAnsi="Times New Roman" w:cs="Times New Roman"/>
          <w:lang w:val="kk-KZ"/>
        </w:rPr>
        <w:t xml:space="preserve"> (concentrate generator): Система, при которой концентрат доставляется пользователю в виде порошка в контейнере, подходящем для подсоединения к машине для диализа, которая предполагается для использования, и где затем происходит преобразование порошка в концентрированный раствор.</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Раствор, произведенный генератором концентрата, используется машиной для диализа для получения конечного диализирующего раствора, подаваемого в диализатор.</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3.15 </w:t>
      </w:r>
      <w:r w:rsidRPr="00611D6E">
        <w:rPr>
          <w:rFonts w:ascii="Times New Roman" w:hAnsi="Times New Roman" w:cs="Times New Roman"/>
          <w:b/>
          <w:lang w:val="kk-KZ"/>
        </w:rPr>
        <w:t>Диализирующий раствор (диализат, раствор для диализа)</w:t>
      </w:r>
      <w:r w:rsidRPr="00611D6E">
        <w:rPr>
          <w:rFonts w:ascii="Times New Roman" w:hAnsi="Times New Roman" w:cs="Times New Roman"/>
          <w:lang w:val="kk-KZ"/>
        </w:rPr>
        <w:t xml:space="preserve"> (dialysis fluid, dialysate, dialysis solution): Жидкость на водной основе, содержащая электролиты и, как </w:t>
      </w:r>
      <w:r w:rsidRPr="00611D6E">
        <w:rPr>
          <w:rFonts w:ascii="Times New Roman" w:hAnsi="Times New Roman" w:cs="Times New Roman"/>
          <w:lang w:val="kk-KZ"/>
        </w:rPr>
        <w:lastRenderedPageBreak/>
        <w:t>правило, буфер и глюкозу, предназначенная для обмена растворенных веществ с кровью во время гемодиализа и гемодиафильтрации.</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Термин «диализирующий раствор» используется в тексте настоящего стандарта в значении жидкости, приготовленной из воды для диализа и концентратов, доставляемой в диализатор через систему доставки диализирующего раствора. В значении диализирующего раствора могут использоваться такие фразы как «диализат» или «раствор для диализа», они используются вместо «диализирующего раствора» в некоторых странах; однако это использование не рекомендуется, чтобы избежать путаницы.</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ISO 23500-5 определяет три уровня диализирующего раствора: стандартный диализирующий раствор, сверхчистый диализирующий раствор и подготовленный в режиме реального времени замещающий раствор, используемый для гемодиафильтрации.</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3 Диализирующий раствор, вводимый в диализатор, считается «свежим диализирующим раствором», а жидкость, выводимая из диализатора, считается «использованным диализирующим раствором».</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4 Диализирующий раствор не включает предварительно упакованные парентеральные жидкости, используемые при некоторых видах заместительной терапии функции почек, таких как гемодиафильтрация и гемофильтрация. </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3.16 </w:t>
      </w:r>
      <w:r w:rsidRPr="00611D6E">
        <w:rPr>
          <w:rFonts w:ascii="Times New Roman" w:hAnsi="Times New Roman" w:cs="Times New Roman"/>
          <w:b/>
          <w:lang w:val="kk-KZ"/>
        </w:rPr>
        <w:t>Система доставки диализирующего раствора</w:t>
      </w:r>
      <w:r w:rsidRPr="00611D6E">
        <w:rPr>
          <w:rFonts w:ascii="Times New Roman" w:hAnsi="Times New Roman" w:cs="Times New Roman"/>
          <w:lang w:val="kk-KZ"/>
        </w:rPr>
        <w:t xml:space="preserve"> (dialysis fluid delivery system): </w:t>
      </w:r>
      <w:r>
        <w:rPr>
          <w:rFonts w:ascii="Times New Roman" w:hAnsi="Times New Roman" w:cs="Times New Roman"/>
          <w:lang w:val="kk-KZ"/>
        </w:rPr>
        <w:t xml:space="preserve"> </w:t>
      </w:r>
      <w:r w:rsidRPr="00611D6E">
        <w:rPr>
          <w:rFonts w:ascii="Times New Roman" w:hAnsi="Times New Roman" w:cs="Times New Roman"/>
          <w:lang w:val="kk-KZ"/>
        </w:rPr>
        <w:t>Устройство, которое готовит диализирующий раствор из воды для диализа и концентратов в режиме реального времени или хранит и распределяет предварительно смешанный диализирующий раствор; обеспечивает циркуляцию диализирующего раствора через диализатор; контролирует температуру, проводимость (или эквивалент), давление и поток диализирующего раствора и утечки крови; препятствует диализу в режимах дезинфекции или чистки.</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Термин включает резервуары, каналы, дозаторы диализирующего раствора, а также мониторы и связанные с ними аварийные сигнализации, и контролирующие устройства, собранные как система для целей, перечисленных выше.</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Система доставки диализирующего раствора может быть встроенной частью аппарата для диализа или централизованной системой приготовления, которая питает несколько отдельных консолей для диализа.</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3 Система доставки диализирующего раствора также известна как система дозирования и система поставки диализирующего раствора.</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3.17</w:t>
      </w:r>
      <w:r>
        <w:rPr>
          <w:rFonts w:ascii="Times New Roman" w:hAnsi="Times New Roman" w:cs="Times New Roman"/>
          <w:lang w:val="kk-KZ"/>
        </w:rPr>
        <w:t xml:space="preserve"> </w:t>
      </w:r>
      <w:r w:rsidRPr="00611D6E">
        <w:rPr>
          <w:rFonts w:ascii="Times New Roman" w:hAnsi="Times New Roman" w:cs="Times New Roman"/>
          <w:b/>
          <w:lang w:val="kk-KZ"/>
        </w:rPr>
        <w:t>Вода для диализа</w:t>
      </w:r>
      <w:r w:rsidRPr="00611D6E">
        <w:rPr>
          <w:rFonts w:ascii="Times New Roman" w:hAnsi="Times New Roman" w:cs="Times New Roman"/>
          <w:lang w:val="kk-KZ"/>
        </w:rPr>
        <w:t xml:space="preserve"> (dialysis water): Вода, которая была обработана, чтобы соответствовать требованиям ISO 23500-3 и которая подходит для использования в системах для гемодиализа, включая приготовление диализирующего раствора, повторную обработку диализатора, приготовление концентратов и приготовление замещающего раствора для конвекционной терапии в режиме реального времени.</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3.18</w:t>
      </w:r>
      <w:r>
        <w:rPr>
          <w:rFonts w:ascii="Times New Roman" w:hAnsi="Times New Roman" w:cs="Times New Roman"/>
          <w:lang w:val="kk-KZ"/>
        </w:rPr>
        <w:t xml:space="preserve"> </w:t>
      </w:r>
      <w:r w:rsidRPr="00611D6E">
        <w:rPr>
          <w:rFonts w:ascii="Times New Roman" w:hAnsi="Times New Roman" w:cs="Times New Roman"/>
          <w:b/>
          <w:lang w:val="kk-KZ"/>
        </w:rPr>
        <w:t xml:space="preserve">Дезинфекция </w:t>
      </w:r>
      <w:r w:rsidRPr="00611D6E">
        <w:rPr>
          <w:rFonts w:ascii="Times New Roman" w:hAnsi="Times New Roman" w:cs="Times New Roman"/>
          <w:lang w:val="kk-KZ"/>
        </w:rPr>
        <w:t>(disinfection): Уничтожение патогенных и других видов микроорганизмов термическими или химическими средствами.</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Дезинфекция является менее смертоносным процессом, чем стерилизация, поскольку она уничтожает большинство признанных патогенных микроорганизмов, но не обязательно уничтожает все микробные формы.</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Соответствующие методы дезинфекции должны включать: тип дезинфекции, концентрацию дезинфицирующего средства, время воздействия и температуру.</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3.19 </w:t>
      </w:r>
      <w:r w:rsidRPr="00611D6E">
        <w:rPr>
          <w:rFonts w:ascii="Times New Roman" w:hAnsi="Times New Roman" w:cs="Times New Roman"/>
          <w:b/>
          <w:lang w:val="kk-KZ"/>
        </w:rPr>
        <w:t>Время контакта частиц с водой</w:t>
      </w:r>
      <w:r w:rsidRPr="00611D6E">
        <w:rPr>
          <w:rFonts w:ascii="Times New Roman" w:hAnsi="Times New Roman" w:cs="Times New Roman"/>
          <w:lang w:val="kk-KZ"/>
        </w:rPr>
        <w:t xml:space="preserve"> (empty-bed contact time. ЕВСТ): Время, необходимое питательной воде для прохождения через пустой объем, равный объему слоя частиц.</w:t>
      </w:r>
    </w:p>
    <w:p w:rsid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ЕВСТ (min) рассчитывается по следующей формуле:</w:t>
      </w:r>
    </w:p>
    <w:p w:rsidR="00611D6E" w:rsidRPr="00611D6E" w:rsidRDefault="00611D6E" w:rsidP="00611D6E">
      <w:pPr>
        <w:pStyle w:val="Style8"/>
        <w:widowControl/>
        <w:ind w:firstLine="567"/>
        <w:rPr>
          <w:rFonts w:ascii="Times New Roman" w:hAnsi="Times New Roman" w:cs="Times New Roman"/>
          <w:sz w:val="20"/>
          <w:szCs w:val="20"/>
          <w:lang w:val="kk-KZ"/>
        </w:rPr>
      </w:pPr>
    </w:p>
    <w:p w:rsidR="00611D6E" w:rsidRPr="00611D6E" w:rsidRDefault="00611D6E" w:rsidP="00611D6E">
      <w:pPr>
        <w:pStyle w:val="Style8"/>
        <w:widowControl/>
        <w:ind w:firstLine="567"/>
        <w:jc w:val="center"/>
        <w:rPr>
          <w:rFonts w:ascii="Times New Roman" w:hAnsi="Times New Roman" w:cs="Times New Roman"/>
          <w:i/>
          <w:sz w:val="20"/>
          <w:szCs w:val="20"/>
          <w:lang w:val="kk-KZ"/>
        </w:rPr>
      </w:pPr>
      <w:r w:rsidRPr="00611D6E">
        <w:rPr>
          <w:rFonts w:ascii="Times New Roman" w:hAnsi="Times New Roman" w:cs="Times New Roman"/>
          <w:i/>
          <w:sz w:val="20"/>
          <w:szCs w:val="20"/>
          <w:lang w:val="kk-KZ"/>
        </w:rPr>
        <w:t>EBCT=V/Q</w:t>
      </w:r>
    </w:p>
    <w:p w:rsidR="00611D6E" w:rsidRPr="00611D6E" w:rsidRDefault="00611D6E" w:rsidP="00611D6E">
      <w:pPr>
        <w:pStyle w:val="Style8"/>
        <w:widowControl/>
        <w:ind w:firstLine="567"/>
        <w:rPr>
          <w:rFonts w:ascii="Times New Roman" w:hAnsi="Times New Roman" w:cs="Times New Roman"/>
          <w:sz w:val="20"/>
          <w:szCs w:val="20"/>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где V – объем слоя частиц, м</w:t>
      </w:r>
      <w:r w:rsidRPr="00611D6E">
        <w:rPr>
          <w:rFonts w:ascii="Times New Roman" w:hAnsi="Times New Roman" w:cs="Times New Roman"/>
          <w:sz w:val="20"/>
          <w:szCs w:val="20"/>
          <w:vertAlign w:val="superscript"/>
          <w:lang w:val="kk-KZ"/>
        </w:rPr>
        <w:t>3</w:t>
      </w:r>
      <w:r w:rsidRPr="00611D6E">
        <w:rPr>
          <w:rFonts w:ascii="Times New Roman" w:hAnsi="Times New Roman" w:cs="Times New Roman"/>
          <w:sz w:val="20"/>
          <w:szCs w:val="20"/>
          <w:lang w:val="kk-KZ"/>
        </w:rPr>
        <w:t>;</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Q – расход воды через слой, м</w:t>
      </w:r>
      <w:r w:rsidRPr="00611D6E">
        <w:rPr>
          <w:rFonts w:ascii="Times New Roman" w:hAnsi="Times New Roman" w:cs="Times New Roman"/>
          <w:sz w:val="20"/>
          <w:szCs w:val="20"/>
          <w:vertAlign w:val="superscript"/>
          <w:lang w:val="kk-KZ"/>
        </w:rPr>
        <w:t>3</w:t>
      </w:r>
      <w:r w:rsidRPr="00611D6E">
        <w:rPr>
          <w:rFonts w:ascii="Times New Roman" w:hAnsi="Times New Roman" w:cs="Times New Roman"/>
          <w:sz w:val="20"/>
          <w:szCs w:val="20"/>
          <w:lang w:val="kk-KZ"/>
        </w:rPr>
        <w:t>/мин.</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ЕВСТ используется в качестве косвенной меры того, насколько сильно происходит контакт между частицами, такими как активированный уголь, и водой, когда вода течет через слой частиц.</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3.20 </w:t>
      </w:r>
      <w:r w:rsidRPr="00611D6E">
        <w:rPr>
          <w:rFonts w:ascii="Times New Roman" w:hAnsi="Times New Roman" w:cs="Times New Roman"/>
          <w:b/>
          <w:lang w:val="kk-KZ"/>
        </w:rPr>
        <w:t>Эндотоксин</w:t>
      </w:r>
      <w:r w:rsidRPr="00611D6E">
        <w:rPr>
          <w:rFonts w:ascii="Times New Roman" w:hAnsi="Times New Roman" w:cs="Times New Roman"/>
          <w:lang w:val="kk-KZ"/>
        </w:rPr>
        <w:t xml:space="preserve"> (endotoxin): Основной компонент внешней стенки клеток грамотрицательных бактерий.</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Эндотоксины — это липополисахариды, которые состоят из цепочек полисахаридов, ковалентно связанных с липидами А. Эндотоксины могут резко активировать как гуморальный, так и клеточный иммунитет, что приводит к синдрому, характеризующемуся лихорадкой, дрожью, ознобом, гипотензией, полиорганной недостаточностью и даже смертью, если допустить их проникновение в систему кровообращения в достаточном количестве [См. также пироген (3.35)].</w:t>
      </w: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3.21 </w:t>
      </w:r>
      <w:r w:rsidRPr="00611D6E">
        <w:rPr>
          <w:rFonts w:ascii="Times New Roman" w:hAnsi="Times New Roman" w:cs="Times New Roman"/>
          <w:b/>
          <w:lang w:val="kk-KZ"/>
        </w:rPr>
        <w:t>Эндотоксиновый фильтр</w:t>
      </w:r>
      <w:r w:rsidRPr="00611D6E">
        <w:rPr>
          <w:rFonts w:ascii="Times New Roman" w:hAnsi="Times New Roman" w:cs="Times New Roman"/>
          <w:lang w:val="kk-KZ"/>
        </w:rPr>
        <w:t xml:space="preserve"> (endotoxin-retentive filter, ETRF): Мембранный фильтр, используемый для удаления эндотоксинов и микроорганизмов из воды для диализа или диализирующего раствора.</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Примечания</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Производительность фильтра, удерживающего эндотоксин, обычно выражается как логарифм величины уменьшения (LRV), определяемая как 1одю(концентрация на входе)/(концентрация на выходе).</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Эндотоксиновые фильтры могут быть сконфигурированы в режиме перекрестного потока или тупикового режима. Некоторые эндотоксиновые фильтры также удаляют эндотоксины путем адсорбции.</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3.22 </w:t>
      </w:r>
      <w:r w:rsidRPr="00611D6E">
        <w:rPr>
          <w:rFonts w:ascii="Times New Roman" w:hAnsi="Times New Roman" w:cs="Times New Roman"/>
          <w:b/>
          <w:lang w:val="kk-KZ"/>
        </w:rPr>
        <w:t>Единицы эндотоксинов, ЕЭ</w:t>
      </w:r>
      <w:r w:rsidRPr="00611D6E">
        <w:rPr>
          <w:rFonts w:ascii="Times New Roman" w:hAnsi="Times New Roman" w:cs="Times New Roman"/>
          <w:lang w:val="kk-KZ"/>
        </w:rPr>
        <w:t xml:space="preserve"> (endotoxin units EU): Единицы, определенные при испытании с использованием лизата амебоцита Limulus (Limulus amoebocyte lysate, LAL) на эндотоксины.</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 xml:space="preserve">Примечания </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1 Активность эндотоксинов зависит от бактерий, из которых они получены, их активность соотносится со стандартным эндотоксином.</w:t>
      </w: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2 В некоторых странах концентрации эндотоксинов выражаются в международных единицах (international units, IU). С того момента, когда была гармонизирована оценка эндотоксинов, ЕЭ (EU) и IU эквиваленты.</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3.23 </w:t>
      </w:r>
      <w:r w:rsidRPr="00611D6E">
        <w:rPr>
          <w:rFonts w:ascii="Times New Roman" w:hAnsi="Times New Roman" w:cs="Times New Roman"/>
          <w:b/>
          <w:lang w:val="kk-KZ"/>
        </w:rPr>
        <w:t>Питательная вода</w:t>
      </w:r>
      <w:r w:rsidRPr="00611D6E">
        <w:rPr>
          <w:rFonts w:ascii="Times New Roman" w:hAnsi="Times New Roman" w:cs="Times New Roman"/>
          <w:lang w:val="kk-KZ"/>
        </w:rPr>
        <w:t xml:space="preserve"> (feed water): Вода, подаваемая в систему водоподготовки или в отдельный компонент системы водоподготовки.</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Вода, подаваемая в систему водоподготовки, является питьевой водой, соответствующей требованиям к питьевой воде.</w:t>
      </w:r>
    </w:p>
    <w:p w:rsid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3.24</w:t>
      </w:r>
      <w:r>
        <w:rPr>
          <w:rFonts w:ascii="Times New Roman" w:hAnsi="Times New Roman" w:cs="Times New Roman"/>
          <w:lang w:val="kk-KZ"/>
        </w:rPr>
        <w:t xml:space="preserve"> </w:t>
      </w:r>
      <w:r w:rsidRPr="00611D6E">
        <w:rPr>
          <w:rFonts w:ascii="Times New Roman" w:hAnsi="Times New Roman" w:cs="Times New Roman"/>
          <w:b/>
          <w:lang w:val="kk-KZ"/>
        </w:rPr>
        <w:t>Бактерицидное средство</w:t>
      </w:r>
      <w:r w:rsidRPr="00611D6E">
        <w:rPr>
          <w:rFonts w:ascii="Times New Roman" w:hAnsi="Times New Roman" w:cs="Times New Roman"/>
          <w:lang w:val="kk-KZ"/>
        </w:rPr>
        <w:t xml:space="preserve"> (germicide): Средство, убивающее микроорганизмы.</w:t>
      </w: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3.25</w:t>
      </w:r>
      <w:r>
        <w:rPr>
          <w:rFonts w:ascii="Times New Roman" w:hAnsi="Times New Roman" w:cs="Times New Roman"/>
          <w:lang w:val="kk-KZ"/>
        </w:rPr>
        <w:t xml:space="preserve"> </w:t>
      </w:r>
      <w:r w:rsidRPr="00611D6E">
        <w:rPr>
          <w:rFonts w:ascii="Times New Roman" w:hAnsi="Times New Roman" w:cs="Times New Roman"/>
          <w:b/>
          <w:lang w:val="kk-KZ"/>
        </w:rPr>
        <w:t>Гемодиафильтрация</w:t>
      </w:r>
      <w:r w:rsidRPr="00611D6E">
        <w:rPr>
          <w:rFonts w:ascii="Times New Roman" w:hAnsi="Times New Roman" w:cs="Times New Roman"/>
          <w:lang w:val="kk-KZ"/>
        </w:rPr>
        <w:t xml:space="preserve"> (haemodiafiltration): Форма заместительной почечной терапии, при которой отработанные растворенные вещества удаляются из крови комбинацией диффузии и конвекции через высокопоточную мембрану.</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 xml:space="preserve">Примечание – Диффузионное удаление растворенного вещества достигается с помощью потока диализирующего раствора, как и при гемодиализе. Конвективное удаление растворенного вещества достигается добавлением ультрафильтрации сверх той, которая необходима для получения желаемой потери </w:t>
      </w:r>
      <w:r w:rsidRPr="00611D6E">
        <w:rPr>
          <w:rFonts w:ascii="Times New Roman" w:hAnsi="Times New Roman" w:cs="Times New Roman"/>
          <w:sz w:val="20"/>
          <w:szCs w:val="20"/>
          <w:lang w:val="kk-KZ"/>
        </w:rPr>
        <w:lastRenderedPageBreak/>
        <w:t>веса; баланс жидкости поддерживается путем введения заменяющего раствора в кровь либо до диализатора (предилюционная гемодиафильтрация), либо после диализатора (постдилюционная гемодиафильтрация), либо их комбинации (гемодиафильтрация со смешанной дилюцией).</w:t>
      </w:r>
    </w:p>
    <w:p w:rsidR="00611D6E" w:rsidRP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3.26 </w:t>
      </w:r>
      <w:r w:rsidRPr="00611D6E">
        <w:rPr>
          <w:rFonts w:ascii="Times New Roman" w:hAnsi="Times New Roman" w:cs="Times New Roman"/>
          <w:b/>
          <w:lang w:val="kk-KZ"/>
        </w:rPr>
        <w:t>Гемодиализ</w:t>
      </w:r>
      <w:r w:rsidRPr="00611D6E">
        <w:rPr>
          <w:rFonts w:ascii="Times New Roman" w:hAnsi="Times New Roman" w:cs="Times New Roman"/>
          <w:lang w:val="kk-KZ"/>
        </w:rPr>
        <w:t xml:space="preserve"> (haemodialysis): Форма заместительной терапии функции почек, при которой отработанные растворенные вещества удаляются в основном за счет диффузии из кровеносного потока с одной стороны мембраны в поток диализирующего раствора с другой стороны.</w:t>
      </w:r>
    </w:p>
    <w:p w:rsidR="00611D6E" w:rsidRPr="00611D6E" w:rsidRDefault="00611D6E" w:rsidP="00611D6E">
      <w:pPr>
        <w:pStyle w:val="Style8"/>
        <w:widowControl/>
        <w:ind w:firstLine="567"/>
        <w:rPr>
          <w:rFonts w:ascii="Times New Roman" w:hAnsi="Times New Roman" w:cs="Times New Roman"/>
          <w:lang w:val="kk-KZ"/>
        </w:rPr>
      </w:pPr>
    </w:p>
    <w:p w:rsidR="00611D6E" w:rsidRPr="00611D6E" w:rsidRDefault="00611D6E" w:rsidP="00611D6E">
      <w:pPr>
        <w:pStyle w:val="Style8"/>
        <w:widowControl/>
        <w:ind w:firstLine="567"/>
        <w:rPr>
          <w:rFonts w:ascii="Times New Roman" w:hAnsi="Times New Roman" w:cs="Times New Roman"/>
          <w:sz w:val="20"/>
          <w:szCs w:val="20"/>
          <w:lang w:val="kk-KZ"/>
        </w:rPr>
      </w:pPr>
      <w:r w:rsidRPr="00611D6E">
        <w:rPr>
          <w:rFonts w:ascii="Times New Roman" w:hAnsi="Times New Roman" w:cs="Times New Roman"/>
          <w:sz w:val="20"/>
          <w:szCs w:val="20"/>
          <w:lang w:val="kk-KZ"/>
        </w:rPr>
        <w:t>Примечание – Удаление жидкости, достаточное для получения требуемой потери веса, достигается при помощи установления градиента гидростатического давления через мембрану. Данное удаление жидкости обеспечивает некоторое дополнительное удаление отработанных растворенных веществ, в частности высокомолекулярных растворенных веществ.</w:t>
      </w:r>
    </w:p>
    <w:p w:rsidR="00611D6E" w:rsidRDefault="00611D6E" w:rsidP="00611D6E">
      <w:pPr>
        <w:pStyle w:val="Style8"/>
        <w:widowControl/>
        <w:ind w:firstLine="567"/>
        <w:rPr>
          <w:rFonts w:ascii="Times New Roman" w:hAnsi="Times New Roman" w:cs="Times New Roman"/>
          <w:lang w:val="kk-KZ"/>
        </w:rPr>
      </w:pPr>
    </w:p>
    <w:p w:rsid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3.27 </w:t>
      </w:r>
      <w:r w:rsidRPr="00611D6E">
        <w:rPr>
          <w:rFonts w:ascii="Times New Roman" w:hAnsi="Times New Roman" w:cs="Times New Roman"/>
          <w:b/>
          <w:lang w:val="kk-KZ"/>
        </w:rPr>
        <w:t>Гемофильтрация</w:t>
      </w:r>
      <w:r w:rsidRPr="00611D6E">
        <w:rPr>
          <w:rFonts w:ascii="Times New Roman" w:hAnsi="Times New Roman" w:cs="Times New Roman"/>
          <w:lang w:val="kk-KZ"/>
        </w:rPr>
        <w:t xml:space="preserve"> (haemofiltration): Форма заместительной почечной терапии, при которой отработанные растворенные вещества удаляются из крови конвекцией.</w:t>
      </w:r>
    </w:p>
    <w:p w:rsidR="00611D6E" w:rsidRPr="00611D6E" w:rsidRDefault="00611D6E" w:rsidP="00611D6E">
      <w:pPr>
        <w:pStyle w:val="Style8"/>
        <w:widowControl/>
        <w:ind w:firstLine="567"/>
        <w:rPr>
          <w:rFonts w:ascii="Times New Roman" w:hAnsi="Times New Roman" w:cs="Times New Roman"/>
          <w:lang w:val="kk-KZ"/>
        </w:rPr>
      </w:pPr>
    </w:p>
    <w:p w:rsidR="00DD1ECC" w:rsidRPr="00DD1ECC" w:rsidRDefault="00DD1ECC"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Примечания</w:t>
      </w:r>
      <w:r w:rsidR="00611D6E" w:rsidRPr="00DD1ECC">
        <w:rPr>
          <w:rFonts w:ascii="Times New Roman" w:hAnsi="Times New Roman" w:cs="Times New Roman"/>
          <w:sz w:val="20"/>
          <w:szCs w:val="20"/>
          <w:lang w:val="kk-KZ"/>
        </w:rPr>
        <w:t xml:space="preserve"> </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1 Конвективный перенос достигается ультрафильтрацией через высокопоточную мембрану. Баланс раствора поддерживается путем введения в кровь заменяющего раствора либо до гемофильтра (предилюционная гемофильтрация), либо после гемофильтра (постдилюционная гемофильтрация), либо их комбинации (гемофильтрация со смешанной дилюцией).</w:t>
      </w:r>
    </w:p>
    <w:p w:rsidR="00DD1ECC"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2 Поток диализирующего раствора при гемофильтрации отсутствует.</w:t>
      </w: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3.28</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Г</w:t>
      </w:r>
      <w:r w:rsidRPr="00DD1ECC">
        <w:rPr>
          <w:rFonts w:ascii="Times New Roman" w:hAnsi="Times New Roman" w:cs="Times New Roman"/>
          <w:b/>
          <w:lang w:val="kk-KZ"/>
        </w:rPr>
        <w:t>етеротрофный</w:t>
      </w:r>
      <w:r w:rsidRPr="00611D6E">
        <w:rPr>
          <w:rFonts w:ascii="Times New Roman" w:hAnsi="Times New Roman" w:cs="Times New Roman"/>
          <w:lang w:val="kk-KZ"/>
        </w:rPr>
        <w:t xml:space="preserve"> (heterotrophic): Не самоподдерживающийся, то есть тип питания, при котором организмы получают энергию за счет окисления органических соединений либо путем потребления, либо путем поглощения других организмов.</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3.29</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И</w:t>
      </w:r>
      <w:r w:rsidRPr="00DD1ECC">
        <w:rPr>
          <w:rFonts w:ascii="Times New Roman" w:hAnsi="Times New Roman" w:cs="Times New Roman"/>
          <w:b/>
          <w:lang w:val="kk-KZ"/>
        </w:rPr>
        <w:t>спытание с использованием лизата амебоцита Limulus LAL испытание</w:t>
      </w:r>
      <w:r w:rsidRPr="00611D6E">
        <w:rPr>
          <w:rFonts w:ascii="Times New Roman" w:hAnsi="Times New Roman" w:cs="Times New Roman"/>
          <w:lang w:val="kk-KZ"/>
        </w:rPr>
        <w:t xml:space="preserve"> (Limulus amoebocyte lysate test, LAL test): Проба; используемая для определения эндотоксинов.</w:t>
      </w:r>
    </w:p>
    <w:p w:rsidR="00DD1ECC" w:rsidRPr="00611D6E" w:rsidRDefault="00DD1ECC" w:rsidP="00DD1ECC">
      <w:pPr>
        <w:pStyle w:val="Style8"/>
        <w:widowControl/>
        <w:ind w:firstLine="567"/>
        <w:rPr>
          <w:rFonts w:ascii="Times New Roman" w:hAnsi="Times New Roman" w:cs="Times New Roman"/>
          <w:lang w:val="kk-KZ"/>
        </w:rPr>
      </w:pPr>
    </w:p>
    <w:p w:rsidR="00DD1ECC" w:rsidRPr="00DD1ECC" w:rsidRDefault="00DD1ECC"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Примечания</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1 Метод определения, использующий химический ответ экстракта из клеток крови мечехвоста (Limulus polyphemus) на эндотоксины.</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2 </w:t>
      </w:r>
      <w:r w:rsidR="00DD1ECC" w:rsidRPr="00DD1ECC">
        <w:rPr>
          <w:rFonts w:ascii="Times New Roman" w:hAnsi="Times New Roman" w:cs="Times New Roman"/>
          <w:sz w:val="20"/>
          <w:szCs w:val="20"/>
          <w:lang w:val="kk-KZ"/>
        </w:rPr>
        <w:t>Л</w:t>
      </w:r>
      <w:r w:rsidRPr="00DD1ECC">
        <w:rPr>
          <w:rFonts w:ascii="Times New Roman" w:hAnsi="Times New Roman" w:cs="Times New Roman"/>
          <w:sz w:val="20"/>
          <w:szCs w:val="20"/>
          <w:lang w:val="kk-KZ"/>
        </w:rPr>
        <w:t>изат амебоцита второго мечехвоста (Tachypleus tridentatus), также может быть использован для обнаружения эндотоксинов.</w:t>
      </w:r>
    </w:p>
    <w:p w:rsidR="00DD1ECC" w:rsidRPr="00611D6E" w:rsidRDefault="00DD1ECC" w:rsidP="00611D6E">
      <w:pPr>
        <w:pStyle w:val="Style8"/>
        <w:widowControl/>
        <w:ind w:firstLine="567"/>
        <w:rPr>
          <w:rFonts w:ascii="Times New Roman" w:hAnsi="Times New Roman" w:cs="Times New Roman"/>
          <w:lang w:val="kk-KZ"/>
        </w:rPr>
      </w:pPr>
    </w:p>
    <w:p w:rsidR="00611D6E" w:rsidRP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3.30 </w:t>
      </w:r>
      <w:r w:rsidR="00DD1ECC" w:rsidRPr="00DD1ECC">
        <w:rPr>
          <w:rFonts w:ascii="Times New Roman" w:hAnsi="Times New Roman" w:cs="Times New Roman"/>
          <w:b/>
          <w:lang w:val="kk-KZ"/>
        </w:rPr>
        <w:t>И</w:t>
      </w:r>
      <w:r w:rsidRPr="00DD1ECC">
        <w:rPr>
          <w:rFonts w:ascii="Times New Roman" w:hAnsi="Times New Roman" w:cs="Times New Roman"/>
          <w:b/>
          <w:lang w:val="kk-KZ"/>
        </w:rPr>
        <w:t>зготовитель</w:t>
      </w:r>
      <w:r w:rsidRPr="00611D6E">
        <w:rPr>
          <w:rFonts w:ascii="Times New Roman" w:hAnsi="Times New Roman" w:cs="Times New Roman"/>
          <w:lang w:val="kk-KZ"/>
        </w:rPr>
        <w:t xml:space="preserve"> (manufacturer): Организация, разрабатывающая, производящая, изготавливающая, монтирующая, собирающая или обрабатывающая определенный элемент или изделие.</w:t>
      </w:r>
    </w:p>
    <w:p w:rsidR="00611D6E" w:rsidRPr="00611D6E" w:rsidRDefault="00611D6E" w:rsidP="00611D6E">
      <w:pPr>
        <w:pStyle w:val="Style8"/>
        <w:widowControl/>
        <w:ind w:firstLine="567"/>
        <w:rPr>
          <w:rFonts w:ascii="Times New Roman" w:hAnsi="Times New Roman" w:cs="Times New Roman"/>
          <w:lang w:val="kk-KZ"/>
        </w:rPr>
      </w:pPr>
    </w:p>
    <w:p w:rsidR="00DD1ECC" w:rsidRPr="00DD1ECC" w:rsidRDefault="00DD1ECC" w:rsidP="00DD1ECC">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Примечания</w:t>
      </w:r>
    </w:p>
    <w:p w:rsidR="00611D6E" w:rsidRPr="00DD1ECC" w:rsidRDefault="00611D6E" w:rsidP="00DD1ECC">
      <w:pPr>
        <w:pStyle w:val="Style8"/>
        <w:widowControl/>
        <w:ind w:firstLine="567"/>
        <w:rPr>
          <w:rFonts w:ascii="Times New Roman" w:hAnsi="Times New Roman" w:cs="Times New Roman"/>
          <w:sz w:val="20"/>
          <w:szCs w:val="20"/>
        </w:rPr>
      </w:pPr>
      <w:r w:rsidRPr="00DD1ECC">
        <w:rPr>
          <w:rFonts w:ascii="Times New Roman" w:hAnsi="Times New Roman" w:cs="Times New Roman"/>
          <w:sz w:val="20"/>
          <w:szCs w:val="20"/>
          <w:lang w:val="kk-KZ"/>
        </w:rPr>
        <w:t>1 Изготовители включают, но не ограничивается, тех, кто выполняет функции стерилизации по контрасту, установки, повторного этикетирования, повторного производства, повторной упаковки или разработки спецификации, а также начальных дистрибьюторов иностранных организаций, выполняющих эти функции.</w:t>
      </w:r>
    </w:p>
    <w:p w:rsidR="00611D6E" w:rsidRPr="00DD1ECC" w:rsidRDefault="00611D6E" w:rsidP="00611D6E">
      <w:pPr>
        <w:pStyle w:val="Style8"/>
        <w:widowControl/>
        <w:ind w:firstLine="567"/>
        <w:rPr>
          <w:rFonts w:ascii="Times New Roman" w:hAnsi="Times New Roman" w:cs="Times New Roman"/>
          <w:sz w:val="20"/>
          <w:szCs w:val="20"/>
        </w:rPr>
      </w:pPr>
      <w:r w:rsidRPr="00DD1ECC">
        <w:rPr>
          <w:rFonts w:ascii="Times New Roman" w:hAnsi="Times New Roman" w:cs="Times New Roman"/>
          <w:sz w:val="20"/>
          <w:szCs w:val="20"/>
          <w:lang w:val="kk-KZ"/>
        </w:rPr>
        <w:t>2 Термин не включает приготовление концентратов из предварительно упакованных сухих химических элементов в диализных отделениях или обращение с концентратами в крупной таре в отделениях диализа после того, как ответственность за концентраты была передана от изготовителя пользователю.</w:t>
      </w:r>
    </w:p>
    <w:p w:rsidR="00DD1ECC" w:rsidRPr="00DD1ECC" w:rsidRDefault="00DD1ECC" w:rsidP="00611D6E">
      <w:pPr>
        <w:pStyle w:val="Style8"/>
        <w:widowControl/>
        <w:ind w:firstLine="567"/>
        <w:rPr>
          <w:rFonts w:ascii="Times New Roman" w:hAnsi="Times New Roman" w:cs="Times New Roman"/>
        </w:rPr>
      </w:pPr>
    </w:p>
    <w:p w:rsidR="00611D6E" w:rsidRP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3.31</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М</w:t>
      </w:r>
      <w:r w:rsidRPr="00DD1ECC">
        <w:rPr>
          <w:rFonts w:ascii="Times New Roman" w:hAnsi="Times New Roman" w:cs="Times New Roman"/>
          <w:b/>
          <w:lang w:val="kk-KZ"/>
        </w:rPr>
        <w:t>икробиологическое загрязнение</w:t>
      </w:r>
      <w:r w:rsidRPr="00611D6E">
        <w:rPr>
          <w:rFonts w:ascii="Times New Roman" w:hAnsi="Times New Roman" w:cs="Times New Roman"/>
          <w:lang w:val="kk-KZ"/>
        </w:rPr>
        <w:t xml:space="preserve"> (microbiological contamination): Загрязнение любыми формами микроорганизмов (например, бактериями, дрожжами, грибами и водорослями) или побочными продуктами живых или мертвых организмов, такими как </w:t>
      </w:r>
      <w:r w:rsidRPr="00611D6E">
        <w:rPr>
          <w:rFonts w:ascii="Times New Roman" w:hAnsi="Times New Roman" w:cs="Times New Roman"/>
          <w:lang w:val="kk-KZ"/>
        </w:rPr>
        <w:lastRenderedPageBreak/>
        <w:t>эндотоксины, экзотоксины и цианобактериальные токсины (полученные из сине-зеленых водорослей).</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3.32</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А</w:t>
      </w:r>
      <w:r w:rsidRPr="00DD1ECC">
        <w:rPr>
          <w:rFonts w:ascii="Times New Roman" w:hAnsi="Times New Roman" w:cs="Times New Roman"/>
          <w:b/>
          <w:lang w:val="kk-KZ"/>
        </w:rPr>
        <w:t>пирогенно</w:t>
      </w:r>
      <w:r w:rsidRPr="00611D6E">
        <w:rPr>
          <w:rFonts w:ascii="Times New Roman" w:hAnsi="Times New Roman" w:cs="Times New Roman"/>
          <w:lang w:val="kk-KZ"/>
        </w:rPr>
        <w:t xml:space="preserve"> (non-pyrogenic): Не вызывает пирогенных реакций.</w:t>
      </w:r>
    </w:p>
    <w:p w:rsidR="00DD1ECC" w:rsidRPr="00611D6E" w:rsidRDefault="00DD1ECC" w:rsidP="00DD1ECC">
      <w:pPr>
        <w:pStyle w:val="Style8"/>
        <w:widowControl/>
        <w:ind w:firstLine="567"/>
        <w:rPr>
          <w:rFonts w:ascii="Times New Roman" w:hAnsi="Times New Roman" w:cs="Times New Roman"/>
          <w:lang w:val="kk-KZ"/>
        </w:rPr>
      </w:pPr>
    </w:p>
    <w:p w:rsidR="00DD1ECC"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w:t>
      </w:r>
      <w:r w:rsidR="00DD1ECC" w:rsidRPr="00DD1ECC">
        <w:rPr>
          <w:rFonts w:ascii="Times New Roman" w:hAnsi="Times New Roman" w:cs="Times New Roman"/>
          <w:sz w:val="20"/>
          <w:szCs w:val="20"/>
          <w:lang w:val="kk-KZ"/>
        </w:rPr>
        <w:t>имечания</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1 Данное определение применимо к жидкостям, полученным с помощью методов в режиме реального времени, например к замещающим и грунтовочным растворам.</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2 Для медицинских изделий и инъекционных растворов пороговая пирогенная доза (минимальная доза, вызывающая лихорадку) устанавливается на уровне 5 ЕЭ/кг/ч. Как правило используемый гель-тромб тест имеет предел чувствительности 0,03 ЕЭ/мл, что позволяет установить объем раствора, который может быть введен без нарушения пороговой пирогенной дозы.</w:t>
      </w:r>
    </w:p>
    <w:p w:rsidR="00DD1ECC" w:rsidRPr="00611D6E" w:rsidRDefault="00DD1ECC" w:rsidP="00611D6E">
      <w:pPr>
        <w:pStyle w:val="Style8"/>
        <w:widowControl/>
        <w:ind w:firstLine="567"/>
        <w:rPr>
          <w:rFonts w:ascii="Times New Roman" w:hAnsi="Times New Roman" w:cs="Times New Roman"/>
          <w:lang w:val="kk-KZ"/>
        </w:rPr>
      </w:pPr>
    </w:p>
    <w:p w:rsidR="00611D6E" w:rsidRP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3.33</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О</w:t>
      </w:r>
      <w:r w:rsidRPr="00DD1ECC">
        <w:rPr>
          <w:rFonts w:ascii="Times New Roman" w:hAnsi="Times New Roman" w:cs="Times New Roman"/>
          <w:b/>
          <w:lang w:val="kk-KZ"/>
        </w:rPr>
        <w:t>бработанная вода</w:t>
      </w:r>
      <w:r w:rsidRPr="00611D6E">
        <w:rPr>
          <w:rFonts w:ascii="Times New Roman" w:hAnsi="Times New Roman" w:cs="Times New Roman"/>
          <w:lang w:val="kk-KZ"/>
        </w:rPr>
        <w:t xml:space="preserve"> (product water): Вода, получаемая системой водоподготовки или индивидуальным устройством.</w:t>
      </w:r>
    </w:p>
    <w:p w:rsidR="00611D6E" w:rsidRP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3.34</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С</w:t>
      </w:r>
      <w:r w:rsidRPr="00DD1ECC">
        <w:rPr>
          <w:rFonts w:ascii="Times New Roman" w:hAnsi="Times New Roman" w:cs="Times New Roman"/>
          <w:b/>
          <w:lang w:val="kk-KZ"/>
        </w:rPr>
        <w:t>истема дозирования</w:t>
      </w:r>
      <w:r w:rsidRPr="00611D6E">
        <w:rPr>
          <w:rFonts w:ascii="Times New Roman" w:hAnsi="Times New Roman" w:cs="Times New Roman"/>
          <w:lang w:val="kk-KZ"/>
        </w:rPr>
        <w:t xml:space="preserve"> (proportioning system): Установка, которая дозирует воду для диализа и концентраты для гемодиализа для приготовления диализирующего раствора.</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3.35</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П</w:t>
      </w:r>
      <w:r w:rsidRPr="00DD1ECC">
        <w:rPr>
          <w:rFonts w:ascii="Times New Roman" w:hAnsi="Times New Roman" w:cs="Times New Roman"/>
          <w:b/>
          <w:lang w:val="kk-KZ"/>
        </w:rPr>
        <w:t>ироген</w:t>
      </w:r>
      <w:r w:rsidRPr="00611D6E">
        <w:rPr>
          <w:rFonts w:ascii="Times New Roman" w:hAnsi="Times New Roman" w:cs="Times New Roman"/>
          <w:lang w:val="kk-KZ"/>
        </w:rPr>
        <w:t xml:space="preserve"> (pyrogen): Вещество, вызывающее лихорадку.</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Примечание </w:t>
      </w:r>
      <w:r w:rsidR="00DD1ECC" w:rsidRPr="00DD1ECC">
        <w:rPr>
          <w:rFonts w:ascii="Times New Roman" w:hAnsi="Times New Roman" w:cs="Times New Roman"/>
          <w:sz w:val="20"/>
          <w:szCs w:val="20"/>
          <w:lang w:val="kk-KZ"/>
        </w:rPr>
        <w:t>–</w:t>
      </w:r>
      <w:r w:rsidRPr="00DD1ECC">
        <w:rPr>
          <w:rFonts w:ascii="Times New Roman" w:hAnsi="Times New Roman" w:cs="Times New Roman"/>
          <w:sz w:val="20"/>
          <w:szCs w:val="20"/>
          <w:lang w:val="kk-KZ"/>
        </w:rPr>
        <w:t xml:space="preserve"> Пирогены как правило являются липополисахаридами грамотрицательного бактериального происхождения [см. также эндотоксин (3.20)].</w:t>
      </w: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3.36 </w:t>
      </w:r>
      <w:r w:rsidR="00DD1ECC" w:rsidRPr="00DD1ECC">
        <w:rPr>
          <w:rFonts w:ascii="Times New Roman" w:hAnsi="Times New Roman" w:cs="Times New Roman"/>
          <w:b/>
          <w:lang w:val="kk-KZ"/>
        </w:rPr>
        <w:t>Г</w:t>
      </w:r>
      <w:r w:rsidRPr="00DD1ECC">
        <w:rPr>
          <w:rFonts w:ascii="Times New Roman" w:hAnsi="Times New Roman" w:cs="Times New Roman"/>
          <w:b/>
          <w:lang w:val="kk-KZ"/>
        </w:rPr>
        <w:t>ипохлорит натрия</w:t>
      </w:r>
      <w:r w:rsidRPr="00611D6E">
        <w:rPr>
          <w:rFonts w:ascii="Times New Roman" w:hAnsi="Times New Roman" w:cs="Times New Roman"/>
          <w:lang w:val="kk-KZ"/>
        </w:rPr>
        <w:t xml:space="preserve"> (sodium hypochlorite): Химическое вещество, используемое для дезинфекции систем гемодиализа.</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Примечание </w:t>
      </w:r>
      <w:r w:rsidR="00DD1ECC" w:rsidRPr="00DD1ECC">
        <w:rPr>
          <w:rFonts w:ascii="Times New Roman" w:hAnsi="Times New Roman" w:cs="Times New Roman"/>
          <w:sz w:val="20"/>
          <w:szCs w:val="20"/>
          <w:lang w:val="kk-KZ"/>
        </w:rPr>
        <w:t>–</w:t>
      </w:r>
      <w:r w:rsidRPr="00DD1ECC">
        <w:rPr>
          <w:rFonts w:ascii="Times New Roman" w:hAnsi="Times New Roman" w:cs="Times New Roman"/>
          <w:sz w:val="20"/>
          <w:szCs w:val="20"/>
          <w:lang w:val="kk-KZ"/>
        </w:rPr>
        <w:t xml:space="preserve"> Коммерчески доступные растворы гипохлорита натрия известны в разных странах такими терминами, как «bleach» и «L'eau de Javel». Эти растворы используются для дезинфекции в концентрациях, рекомендованных изготовителями оборудования.</w:t>
      </w:r>
      <w:r w:rsidRPr="00DD1ECC">
        <w:rPr>
          <w:rFonts w:ascii="Times New Roman" w:hAnsi="Times New Roman" w:cs="Times New Roman"/>
          <w:sz w:val="20"/>
          <w:szCs w:val="20"/>
          <w:lang w:val="kk-KZ"/>
        </w:rPr>
        <w:cr/>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3.37 </w:t>
      </w:r>
      <w:r w:rsidR="00DD1ECC" w:rsidRPr="00DD1ECC">
        <w:rPr>
          <w:rFonts w:ascii="Times New Roman" w:hAnsi="Times New Roman" w:cs="Times New Roman"/>
          <w:b/>
          <w:lang w:val="kk-KZ"/>
        </w:rPr>
        <w:t>И</w:t>
      </w:r>
      <w:r w:rsidRPr="00DD1ECC">
        <w:rPr>
          <w:rFonts w:ascii="Times New Roman" w:hAnsi="Times New Roman" w:cs="Times New Roman"/>
          <w:b/>
          <w:lang w:val="kk-KZ"/>
        </w:rPr>
        <w:t>сходная вода</w:t>
      </w:r>
      <w:r w:rsidRPr="00611D6E">
        <w:rPr>
          <w:rFonts w:ascii="Times New Roman" w:hAnsi="Times New Roman" w:cs="Times New Roman"/>
          <w:lang w:val="kk-KZ"/>
        </w:rPr>
        <w:t xml:space="preserve"> (source water): Вода, поступающая в отделение диализа от внешнего поставщика, такого как муниципальное водоснабжение.</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Примечание </w:t>
      </w:r>
      <w:r w:rsidR="00DD1ECC" w:rsidRPr="00DD1ECC">
        <w:rPr>
          <w:rFonts w:ascii="Times New Roman" w:hAnsi="Times New Roman" w:cs="Times New Roman"/>
          <w:sz w:val="20"/>
          <w:szCs w:val="20"/>
          <w:lang w:val="kk-KZ"/>
        </w:rPr>
        <w:t>–</w:t>
      </w:r>
      <w:r w:rsidRPr="00DD1ECC">
        <w:rPr>
          <w:rFonts w:ascii="Times New Roman" w:hAnsi="Times New Roman" w:cs="Times New Roman"/>
          <w:sz w:val="20"/>
          <w:szCs w:val="20"/>
          <w:lang w:val="kk-KZ"/>
        </w:rPr>
        <w:t xml:space="preserve"> Исходная вода, иногда называемая питательной водой, является питьевой водой, отвечающей требованиям к питьевой воде.</w:t>
      </w:r>
    </w:p>
    <w:p w:rsidR="00DD1ECC" w:rsidRDefault="00DD1ECC" w:rsidP="00611D6E">
      <w:pPr>
        <w:pStyle w:val="Style8"/>
        <w:widowControl/>
        <w:ind w:firstLine="567"/>
        <w:rPr>
          <w:rFonts w:ascii="Times New Roman" w:hAnsi="Times New Roman" w:cs="Times New Roman"/>
          <w:lang w:val="kk-KZ"/>
        </w:rPr>
      </w:pPr>
    </w:p>
    <w:p w:rsidR="00611D6E" w:rsidRP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3.38 </w:t>
      </w:r>
      <w:r w:rsidR="00DD1ECC" w:rsidRPr="00DD1ECC">
        <w:rPr>
          <w:rFonts w:ascii="Times New Roman" w:hAnsi="Times New Roman" w:cs="Times New Roman"/>
          <w:b/>
          <w:lang w:val="kk-KZ"/>
        </w:rPr>
        <w:t>С</w:t>
      </w:r>
      <w:r w:rsidRPr="00DD1ECC">
        <w:rPr>
          <w:rFonts w:ascii="Times New Roman" w:hAnsi="Times New Roman" w:cs="Times New Roman"/>
          <w:b/>
          <w:lang w:val="kk-KZ"/>
        </w:rPr>
        <w:t>терильный</w:t>
      </w:r>
      <w:r w:rsidRPr="00611D6E">
        <w:rPr>
          <w:rFonts w:ascii="Times New Roman" w:hAnsi="Times New Roman" w:cs="Times New Roman"/>
          <w:lang w:val="kk-KZ"/>
        </w:rPr>
        <w:t xml:space="preserve"> (sterile): Без жизнеспособных микроорганизмов.</w:t>
      </w:r>
    </w:p>
    <w:p w:rsidR="00DD1ECC" w:rsidRDefault="00DD1ECC" w:rsidP="00611D6E">
      <w:pPr>
        <w:pStyle w:val="Style8"/>
        <w:widowControl/>
        <w:ind w:firstLine="567"/>
        <w:rPr>
          <w:rFonts w:ascii="Times New Roman" w:hAnsi="Times New Roman" w:cs="Times New Roman"/>
          <w:lang w:val="kk-KZ"/>
        </w:rPr>
      </w:pPr>
    </w:p>
    <w:p w:rsidR="00DD1ECC" w:rsidRPr="00DD1ECC" w:rsidRDefault="00DD1ECC"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Примечания</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1 Термин «стерильный» может использоваться для описания упакованного раствора, приготовленного с использованием процесса терминальной стерилизации, проверенного в соответствии с методами применимой фармакопеи. Процесс терминальной стерилизации обычно определяется как тот, который достигает уровня гарантии стерильности (SAL) Ю-6, то есть гарантии менее одного шанса на миллион, что жизнеспособные микроорганизмы присутствуют в стерилизованном изделии.</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2 Альтернативно термин «стерильный» может использоваться для описания раствора, приготовленного для немедленного использования непрерывным процессом, таким как фильтрация, который был валидирован в соответствии с методами соответствующих разделов применимой фармакопеи для получения раствора, свободного от микроорганизмов, в течение валидированного срока службы фильтра.</w:t>
      </w:r>
    </w:p>
    <w:p w:rsidR="00DD1ECC" w:rsidRDefault="00DD1ECC" w:rsidP="00611D6E">
      <w:pPr>
        <w:pStyle w:val="Style8"/>
        <w:widowControl/>
        <w:ind w:firstLine="567"/>
        <w:rPr>
          <w:rFonts w:ascii="Times New Roman" w:hAnsi="Times New Roman" w:cs="Times New Roman"/>
          <w:lang w:val="kk-KZ"/>
        </w:rPr>
      </w:pP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3.39</w:t>
      </w:r>
      <w:r w:rsidR="00DD1ECC">
        <w:rPr>
          <w:rFonts w:ascii="Times New Roman" w:hAnsi="Times New Roman" w:cs="Times New Roman"/>
          <w:lang w:val="kk-KZ"/>
        </w:rPr>
        <w:t xml:space="preserve"> </w:t>
      </w:r>
      <w:r w:rsidR="00DD1ECC" w:rsidRPr="00DD1ECC">
        <w:rPr>
          <w:rFonts w:ascii="Times New Roman" w:hAnsi="Times New Roman" w:cs="Times New Roman"/>
          <w:b/>
          <w:lang w:val="kk-KZ"/>
        </w:rPr>
        <w:t>Н</w:t>
      </w:r>
      <w:r w:rsidRPr="00DD1ECC">
        <w:rPr>
          <w:rFonts w:ascii="Times New Roman" w:hAnsi="Times New Roman" w:cs="Times New Roman"/>
          <w:b/>
          <w:lang w:val="kk-KZ"/>
        </w:rPr>
        <w:t>акопительная емкость</w:t>
      </w:r>
      <w:r w:rsidRPr="00611D6E">
        <w:rPr>
          <w:rFonts w:ascii="Times New Roman" w:hAnsi="Times New Roman" w:cs="Times New Roman"/>
          <w:lang w:val="kk-KZ"/>
        </w:rPr>
        <w:t xml:space="preserve"> (storage tank): Емкость на объекте пользователя для хранения воды для диализа или концентрата из доставки крупной тарой, или для концентрата, приготовленного в большом объеме на объекте пользователя из порошка и воды для диализа.</w:t>
      </w:r>
    </w:p>
    <w:p w:rsidR="00DD1ECC" w:rsidRPr="00611D6E" w:rsidRDefault="00DD1ECC" w:rsidP="00DD1ECC">
      <w:pPr>
        <w:pStyle w:val="Style8"/>
        <w:widowControl/>
        <w:ind w:firstLine="567"/>
        <w:rPr>
          <w:rFonts w:ascii="Times New Roman" w:hAnsi="Times New Roman" w:cs="Times New Roman"/>
          <w:lang w:val="kk-KZ"/>
        </w:rPr>
      </w:pP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lastRenderedPageBreak/>
        <w:t xml:space="preserve">3.40 </w:t>
      </w:r>
      <w:r w:rsidR="00DD1ECC" w:rsidRPr="00DD1ECC">
        <w:rPr>
          <w:rFonts w:ascii="Times New Roman" w:hAnsi="Times New Roman" w:cs="Times New Roman"/>
          <w:b/>
          <w:lang w:val="kk-KZ"/>
        </w:rPr>
        <w:t>З</w:t>
      </w:r>
      <w:r w:rsidRPr="00DD1ECC">
        <w:rPr>
          <w:rFonts w:ascii="Times New Roman" w:hAnsi="Times New Roman" w:cs="Times New Roman"/>
          <w:b/>
          <w:lang w:val="kk-KZ"/>
        </w:rPr>
        <w:t>амещающий раствор</w:t>
      </w:r>
      <w:r w:rsidRPr="00611D6E">
        <w:rPr>
          <w:rFonts w:ascii="Times New Roman" w:hAnsi="Times New Roman" w:cs="Times New Roman"/>
          <w:lang w:val="kk-KZ"/>
        </w:rPr>
        <w:t xml:space="preserve"> (substitution fluid): Раствор, используемый в процедурах гемофильтрации и гемодиафильтрации, который вводится непосредственно в кровь пациента в качестве замены жидкости, удаляемой из крови ультрафильтрацией.</w:t>
      </w:r>
    </w:p>
    <w:p w:rsidR="00DD1ECC" w:rsidRPr="00611D6E" w:rsidRDefault="00DD1ECC" w:rsidP="00DD1ECC">
      <w:pPr>
        <w:pStyle w:val="Style8"/>
        <w:widowControl/>
        <w:ind w:firstLine="567"/>
        <w:rPr>
          <w:rFonts w:ascii="Times New Roman" w:hAnsi="Times New Roman" w:cs="Times New Roman"/>
          <w:lang w:val="kk-KZ"/>
        </w:rPr>
      </w:pPr>
    </w:p>
    <w:p w:rsidR="00DD1ECC" w:rsidRPr="00DD1ECC" w:rsidRDefault="00DD1ECC"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Примечания</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1 Замещающий раствор (substitution fluid) также называется заменяющим раствором (substitution solution) или заменяющим раствором (replacement solution).</w:t>
      </w: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2 Замещающий раствор может также использоваться для болюсного введения, для заполнения контура экстракорпорального кровотока и для возврата крови пациенту в конце лечения.</w:t>
      </w:r>
    </w:p>
    <w:p w:rsidR="00DD1ECC" w:rsidRPr="00611D6E" w:rsidRDefault="00DD1ECC" w:rsidP="00611D6E">
      <w:pPr>
        <w:pStyle w:val="Style8"/>
        <w:widowControl/>
        <w:ind w:firstLine="567"/>
        <w:rPr>
          <w:rFonts w:ascii="Times New Roman" w:hAnsi="Times New Roman" w:cs="Times New Roman"/>
          <w:lang w:val="kk-KZ"/>
        </w:rPr>
      </w:pP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3.41 </w:t>
      </w:r>
      <w:r w:rsidR="00DD1ECC" w:rsidRPr="00DD1ECC">
        <w:rPr>
          <w:rFonts w:ascii="Times New Roman" w:hAnsi="Times New Roman" w:cs="Times New Roman"/>
          <w:b/>
          <w:lang w:val="kk-KZ"/>
        </w:rPr>
        <w:t>О</w:t>
      </w:r>
      <w:r w:rsidRPr="00DD1ECC">
        <w:rPr>
          <w:rFonts w:ascii="Times New Roman" w:hAnsi="Times New Roman" w:cs="Times New Roman"/>
          <w:b/>
          <w:lang w:val="kk-KZ"/>
        </w:rPr>
        <w:t>бщее содержание растворенных твердых веществ</w:t>
      </w:r>
      <w:r w:rsidRPr="00611D6E">
        <w:rPr>
          <w:rFonts w:ascii="Times New Roman" w:hAnsi="Times New Roman" w:cs="Times New Roman"/>
          <w:lang w:val="kk-KZ"/>
        </w:rPr>
        <w:t xml:space="preserve"> (total dissolved solids, TDS): Сумма всех ионов в растворе, часто аппроксимируемая с помощью измерений электропроводности или удельного сопротивления.</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DD1ECC" w:rsidP="00DD1ECC">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w:t>
      </w:r>
      <w:r>
        <w:rPr>
          <w:rFonts w:ascii="Times New Roman" w:hAnsi="Times New Roman" w:cs="Times New Roman"/>
          <w:sz w:val="20"/>
          <w:szCs w:val="20"/>
          <w:lang w:val="kk-KZ"/>
        </w:rPr>
        <w:t xml:space="preserve">е – </w:t>
      </w:r>
      <w:r w:rsidR="00611D6E" w:rsidRPr="00DD1ECC">
        <w:rPr>
          <w:rFonts w:ascii="Times New Roman" w:hAnsi="Times New Roman" w:cs="Times New Roman"/>
          <w:sz w:val="20"/>
          <w:szCs w:val="20"/>
          <w:lang w:val="kk-KZ"/>
        </w:rPr>
        <w:t>Измерения TDS как правило используются для оценки производительности установок обратного осмоса. Значения TDS как правило выражаются в СаСОз, NaCI, KCI единиц или эквивалент 442 в миллиграммах на литр (мг/л). [442 - это раствор сульфата натрия (40</w:t>
      </w:r>
      <w:r w:rsidRPr="00DD1ECC">
        <w:rPr>
          <w:rFonts w:ascii="Times New Roman" w:hAnsi="Times New Roman" w:cs="Times New Roman"/>
          <w:sz w:val="20"/>
          <w:szCs w:val="20"/>
          <w:lang w:val="kk-KZ"/>
        </w:rPr>
        <w:t xml:space="preserve"> </w:t>
      </w:r>
      <w:r w:rsidR="00611D6E" w:rsidRPr="00DD1ECC">
        <w:rPr>
          <w:rFonts w:ascii="Times New Roman" w:hAnsi="Times New Roman" w:cs="Times New Roman"/>
          <w:sz w:val="20"/>
          <w:szCs w:val="20"/>
          <w:lang w:val="kk-KZ"/>
        </w:rPr>
        <w:t>%), бикарбоната натрия (40</w:t>
      </w:r>
      <w:r w:rsidRPr="00DD1ECC">
        <w:rPr>
          <w:rFonts w:ascii="Times New Roman" w:hAnsi="Times New Roman" w:cs="Times New Roman"/>
          <w:sz w:val="20"/>
          <w:szCs w:val="20"/>
          <w:lang w:val="kk-KZ"/>
        </w:rPr>
        <w:t xml:space="preserve"> </w:t>
      </w:r>
      <w:r w:rsidR="00611D6E" w:rsidRPr="00DD1ECC">
        <w:rPr>
          <w:rFonts w:ascii="Times New Roman" w:hAnsi="Times New Roman" w:cs="Times New Roman"/>
          <w:sz w:val="20"/>
          <w:szCs w:val="20"/>
          <w:lang w:val="kk-KZ"/>
        </w:rPr>
        <w:t>%) и хлорида натрия (20</w:t>
      </w:r>
      <w:r w:rsidRPr="00DD1ECC">
        <w:rPr>
          <w:rFonts w:ascii="Times New Roman" w:hAnsi="Times New Roman" w:cs="Times New Roman"/>
          <w:sz w:val="20"/>
          <w:szCs w:val="20"/>
          <w:lang w:val="kk-KZ"/>
        </w:rPr>
        <w:t xml:space="preserve"> </w:t>
      </w:r>
      <w:r w:rsidR="00611D6E" w:rsidRPr="00DD1ECC">
        <w:rPr>
          <w:rFonts w:ascii="Times New Roman" w:hAnsi="Times New Roman" w:cs="Times New Roman"/>
          <w:sz w:val="20"/>
          <w:szCs w:val="20"/>
          <w:lang w:val="kk-KZ"/>
        </w:rPr>
        <w:t>%), который имеет отношение проводимости к концентрации близкое соответствующему отношению для природной пресной воды].</w:t>
      </w:r>
    </w:p>
    <w:p w:rsidR="00DD1ECC" w:rsidRPr="00611D6E" w:rsidRDefault="00DD1ECC" w:rsidP="00611D6E">
      <w:pPr>
        <w:pStyle w:val="Style8"/>
        <w:widowControl/>
        <w:ind w:firstLine="567"/>
        <w:rPr>
          <w:rFonts w:ascii="Times New Roman" w:hAnsi="Times New Roman" w:cs="Times New Roman"/>
          <w:lang w:val="kk-KZ"/>
        </w:rPr>
      </w:pP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3.42 </w:t>
      </w:r>
      <w:r w:rsidR="00DD1ECC" w:rsidRPr="00DD1ECC">
        <w:rPr>
          <w:rFonts w:ascii="Times New Roman" w:hAnsi="Times New Roman" w:cs="Times New Roman"/>
          <w:b/>
          <w:lang w:val="kk-KZ"/>
        </w:rPr>
        <w:t>У</w:t>
      </w:r>
      <w:r w:rsidRPr="00DD1ECC">
        <w:rPr>
          <w:rFonts w:ascii="Times New Roman" w:hAnsi="Times New Roman" w:cs="Times New Roman"/>
          <w:b/>
          <w:lang w:val="kk-KZ"/>
        </w:rPr>
        <w:t>льтрачистый диализирующий раствор</w:t>
      </w:r>
      <w:r w:rsidRPr="00611D6E">
        <w:rPr>
          <w:rFonts w:ascii="Times New Roman" w:hAnsi="Times New Roman" w:cs="Times New Roman"/>
          <w:lang w:val="kk-KZ"/>
        </w:rPr>
        <w:t xml:space="preserve"> (uttrapure dialysis fluid): Сверхочищенный диализирующий раствор, который можно использовать вместо обычного диализирующего раствора.</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Примечание </w:t>
      </w:r>
      <w:r w:rsidR="00DD1ECC" w:rsidRPr="00DD1ECC">
        <w:rPr>
          <w:rFonts w:ascii="Times New Roman" w:hAnsi="Times New Roman" w:cs="Times New Roman"/>
          <w:sz w:val="20"/>
          <w:szCs w:val="20"/>
          <w:lang w:val="kk-KZ"/>
        </w:rPr>
        <w:t>–</w:t>
      </w:r>
      <w:r w:rsidRPr="00DD1ECC">
        <w:rPr>
          <w:rFonts w:ascii="Times New Roman" w:hAnsi="Times New Roman" w:cs="Times New Roman"/>
          <w:sz w:val="20"/>
          <w:szCs w:val="20"/>
          <w:lang w:val="kk-KZ"/>
        </w:rPr>
        <w:t xml:space="preserve"> Широко принятая характеристика ультрачистого диализирующего раствора составляет &lt;</w:t>
      </w:r>
      <w:r w:rsidR="00DD1ECC" w:rsidRPr="00DD1ECC">
        <w:rPr>
          <w:rFonts w:ascii="Times New Roman" w:hAnsi="Times New Roman" w:cs="Times New Roman"/>
          <w:sz w:val="20"/>
          <w:szCs w:val="20"/>
          <w:lang w:val="kk-KZ"/>
        </w:rPr>
        <w:t xml:space="preserve"> </w:t>
      </w:r>
      <w:r w:rsidRPr="00DD1ECC">
        <w:rPr>
          <w:rFonts w:ascii="Times New Roman" w:hAnsi="Times New Roman" w:cs="Times New Roman"/>
          <w:sz w:val="20"/>
          <w:szCs w:val="20"/>
          <w:lang w:val="kk-KZ"/>
        </w:rPr>
        <w:t>0,1 КОЕ/мл и &lt;</w:t>
      </w:r>
      <w:r w:rsidR="00DD1ECC" w:rsidRPr="00DD1ECC">
        <w:rPr>
          <w:rFonts w:ascii="Times New Roman" w:hAnsi="Times New Roman" w:cs="Times New Roman"/>
          <w:sz w:val="20"/>
          <w:szCs w:val="20"/>
          <w:lang w:val="kk-KZ"/>
        </w:rPr>
        <w:t xml:space="preserve"> </w:t>
      </w:r>
      <w:r w:rsidRPr="00DD1ECC">
        <w:rPr>
          <w:rFonts w:ascii="Times New Roman" w:hAnsi="Times New Roman" w:cs="Times New Roman"/>
          <w:sz w:val="20"/>
          <w:szCs w:val="20"/>
          <w:lang w:val="kk-KZ"/>
        </w:rPr>
        <w:t>0,03 ЕЭ/мл.</w:t>
      </w:r>
    </w:p>
    <w:p w:rsidR="00611D6E" w:rsidRPr="00611D6E" w:rsidRDefault="00611D6E" w:rsidP="00611D6E">
      <w:pPr>
        <w:pStyle w:val="Style8"/>
        <w:widowControl/>
        <w:ind w:firstLine="567"/>
        <w:rPr>
          <w:rFonts w:ascii="Times New Roman" w:hAnsi="Times New Roman" w:cs="Times New Roman"/>
          <w:lang w:val="kk-KZ"/>
        </w:rPr>
      </w:pPr>
      <w:r w:rsidRPr="00611D6E">
        <w:rPr>
          <w:rFonts w:ascii="Times New Roman" w:hAnsi="Times New Roman" w:cs="Times New Roman"/>
          <w:lang w:val="kk-KZ"/>
        </w:rPr>
        <w:t> </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3.43 </w:t>
      </w:r>
      <w:r w:rsidR="00DD1ECC" w:rsidRPr="00DD1ECC">
        <w:rPr>
          <w:rFonts w:ascii="Times New Roman" w:hAnsi="Times New Roman" w:cs="Times New Roman"/>
          <w:b/>
          <w:lang w:val="kk-KZ"/>
        </w:rPr>
        <w:t>П</w:t>
      </w:r>
      <w:r w:rsidRPr="00DD1ECC">
        <w:rPr>
          <w:rFonts w:ascii="Times New Roman" w:hAnsi="Times New Roman" w:cs="Times New Roman"/>
          <w:b/>
          <w:lang w:val="kk-KZ"/>
        </w:rPr>
        <w:t>ользователь</w:t>
      </w:r>
      <w:r w:rsidRPr="00611D6E">
        <w:rPr>
          <w:rFonts w:ascii="Times New Roman" w:hAnsi="Times New Roman" w:cs="Times New Roman"/>
          <w:lang w:val="kk-KZ"/>
        </w:rPr>
        <w:t xml:space="preserve"> (user): Врач или представитель врача или медицинский работник, ответственный за назначение, производство и доставку диализирующего раствора.</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Примечание </w:t>
      </w:r>
      <w:r w:rsidR="00DD1ECC" w:rsidRPr="00DD1ECC">
        <w:rPr>
          <w:rFonts w:ascii="Times New Roman" w:hAnsi="Times New Roman" w:cs="Times New Roman"/>
          <w:sz w:val="20"/>
          <w:szCs w:val="20"/>
          <w:lang w:val="kk-KZ"/>
        </w:rPr>
        <w:t>–</w:t>
      </w:r>
      <w:r w:rsidRPr="00DD1ECC">
        <w:rPr>
          <w:rFonts w:ascii="Times New Roman" w:hAnsi="Times New Roman" w:cs="Times New Roman"/>
          <w:sz w:val="20"/>
          <w:szCs w:val="20"/>
          <w:lang w:val="kk-KZ"/>
        </w:rPr>
        <w:t xml:space="preserve"> В настоящем стандарте «пользователь» - лицо, принимающее решение, которое несет ответственность за медицинское решение по уходу за пациентами.</w:t>
      </w:r>
    </w:p>
    <w:p w:rsidR="00DD1ECC" w:rsidRDefault="00DD1ECC" w:rsidP="00611D6E">
      <w:pPr>
        <w:pStyle w:val="Style8"/>
        <w:widowControl/>
        <w:ind w:firstLine="567"/>
        <w:rPr>
          <w:rFonts w:ascii="Times New Roman" w:hAnsi="Times New Roman" w:cs="Times New Roman"/>
          <w:lang w:val="kk-KZ"/>
        </w:rPr>
      </w:pP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3.44 </w:t>
      </w:r>
      <w:r w:rsidR="00DD1ECC" w:rsidRPr="00DD1ECC">
        <w:rPr>
          <w:rFonts w:ascii="Times New Roman" w:hAnsi="Times New Roman" w:cs="Times New Roman"/>
          <w:b/>
          <w:lang w:val="kk-KZ"/>
        </w:rPr>
        <w:t>В</w:t>
      </w:r>
      <w:r w:rsidRPr="00DD1ECC">
        <w:rPr>
          <w:rFonts w:ascii="Times New Roman" w:hAnsi="Times New Roman" w:cs="Times New Roman"/>
          <w:b/>
          <w:lang w:val="kk-KZ"/>
        </w:rPr>
        <w:t xml:space="preserve">алидация </w:t>
      </w:r>
      <w:r w:rsidRPr="00611D6E">
        <w:rPr>
          <w:rFonts w:ascii="Times New Roman" w:hAnsi="Times New Roman" w:cs="Times New Roman"/>
          <w:lang w:val="kk-KZ"/>
        </w:rPr>
        <w:t>(validation): Процесс документирования того: что системы водоподготовки воды для диализа и производства диализирующего раствора, установленные и эксплуатируемые в соответствии с рекомендациями изготовителя, последовательно производят воду для диализа или диализирующий раствор, соответствующие предусмотренным уровням качества.</w:t>
      </w:r>
    </w:p>
    <w:p w:rsidR="00DD1ECC" w:rsidRPr="00611D6E" w:rsidRDefault="00DD1ECC" w:rsidP="00DD1ECC">
      <w:pPr>
        <w:pStyle w:val="Style8"/>
        <w:widowControl/>
        <w:ind w:firstLine="567"/>
        <w:rPr>
          <w:rFonts w:ascii="Times New Roman" w:hAnsi="Times New Roman" w:cs="Times New Roman"/>
          <w:lang w:val="kk-KZ"/>
        </w:rPr>
      </w:pPr>
    </w:p>
    <w:p w:rsidR="00611D6E" w:rsidRPr="00DD1ECC" w:rsidRDefault="00611D6E" w:rsidP="00611D6E">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 xml:space="preserve">Примечание </w:t>
      </w:r>
      <w:r w:rsidR="00DD1ECC" w:rsidRPr="00DD1ECC">
        <w:rPr>
          <w:rFonts w:ascii="Times New Roman" w:hAnsi="Times New Roman" w:cs="Times New Roman"/>
          <w:sz w:val="20"/>
          <w:szCs w:val="20"/>
          <w:lang w:val="kk-KZ"/>
        </w:rPr>
        <w:t>–</w:t>
      </w:r>
      <w:r w:rsidRPr="00DD1ECC">
        <w:rPr>
          <w:rFonts w:ascii="Times New Roman" w:hAnsi="Times New Roman" w:cs="Times New Roman"/>
          <w:sz w:val="20"/>
          <w:szCs w:val="20"/>
          <w:lang w:val="kk-KZ"/>
        </w:rPr>
        <w:t xml:space="preserve"> В настоящем стандарте валидация также включает демонстрацию того, что система «пригодна для использования».</w:t>
      </w:r>
    </w:p>
    <w:p w:rsidR="00DD1ECC" w:rsidRPr="00611D6E" w:rsidRDefault="00DD1ECC" w:rsidP="00611D6E">
      <w:pPr>
        <w:pStyle w:val="Style8"/>
        <w:widowControl/>
        <w:ind w:firstLine="567"/>
        <w:rPr>
          <w:rFonts w:ascii="Times New Roman" w:hAnsi="Times New Roman" w:cs="Times New Roman"/>
          <w:lang w:val="kk-KZ"/>
        </w:rPr>
      </w:pPr>
    </w:p>
    <w:p w:rsidR="00611D6E" w:rsidRP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3.45 </w:t>
      </w:r>
      <w:r w:rsidR="00DD1ECC" w:rsidRPr="00DD1ECC">
        <w:rPr>
          <w:rFonts w:ascii="Times New Roman" w:hAnsi="Times New Roman" w:cs="Times New Roman"/>
          <w:b/>
          <w:lang w:val="kk-KZ"/>
        </w:rPr>
        <w:t>В</w:t>
      </w:r>
      <w:r w:rsidRPr="00DD1ECC">
        <w:rPr>
          <w:rFonts w:ascii="Times New Roman" w:hAnsi="Times New Roman" w:cs="Times New Roman"/>
          <w:b/>
          <w:lang w:val="kk-KZ"/>
        </w:rPr>
        <w:t>ерификация</w:t>
      </w:r>
      <w:r w:rsidRPr="00611D6E">
        <w:rPr>
          <w:rFonts w:ascii="Times New Roman" w:hAnsi="Times New Roman" w:cs="Times New Roman"/>
          <w:lang w:val="kk-KZ"/>
        </w:rPr>
        <w:t xml:space="preserve"> (verification): Процесс демонстрации того, что система соответствует применимым правилам, спецификациям или другим условиям.</w:t>
      </w:r>
    </w:p>
    <w:p w:rsidR="00611D6E" w:rsidRDefault="00611D6E" w:rsidP="00DD1ECC">
      <w:pPr>
        <w:pStyle w:val="Style8"/>
        <w:widowControl/>
        <w:ind w:firstLine="567"/>
        <w:rPr>
          <w:rFonts w:ascii="Times New Roman" w:hAnsi="Times New Roman" w:cs="Times New Roman"/>
          <w:lang w:val="kk-KZ"/>
        </w:rPr>
      </w:pPr>
      <w:r w:rsidRPr="00611D6E">
        <w:rPr>
          <w:rFonts w:ascii="Times New Roman" w:hAnsi="Times New Roman" w:cs="Times New Roman"/>
          <w:lang w:val="kk-KZ"/>
        </w:rPr>
        <w:t xml:space="preserve">3.46 </w:t>
      </w:r>
      <w:r w:rsidR="00DD1ECC" w:rsidRPr="00DD1ECC">
        <w:rPr>
          <w:rFonts w:ascii="Times New Roman" w:hAnsi="Times New Roman" w:cs="Times New Roman"/>
          <w:b/>
          <w:lang w:val="kk-KZ"/>
        </w:rPr>
        <w:t>С</w:t>
      </w:r>
      <w:r w:rsidRPr="00DD1ECC">
        <w:rPr>
          <w:rFonts w:ascii="Times New Roman" w:hAnsi="Times New Roman" w:cs="Times New Roman"/>
          <w:b/>
          <w:lang w:val="kk-KZ"/>
        </w:rPr>
        <w:t>истема водоподготовки</w:t>
      </w:r>
      <w:r w:rsidRPr="00611D6E">
        <w:rPr>
          <w:rFonts w:ascii="Times New Roman" w:hAnsi="Times New Roman" w:cs="Times New Roman"/>
          <w:lang w:val="kk-KZ"/>
        </w:rPr>
        <w:t xml:space="preserve"> (water treatment system): Комплекс оборудования для водоподготовки и связанных с ними трубок, насосов, клапанов, датчиков и т. д., которые вместе производят воду для диализа, соответствующую требованиям ISO 23500-3, для применения в гемодиализе и доставляют ее до места использования.</w:t>
      </w:r>
    </w:p>
    <w:p w:rsidR="00611D6E" w:rsidRDefault="00611D6E" w:rsidP="00D44A53">
      <w:pPr>
        <w:pStyle w:val="Style8"/>
        <w:widowControl/>
        <w:ind w:firstLine="567"/>
        <w:rPr>
          <w:rFonts w:ascii="Times New Roman" w:hAnsi="Times New Roman" w:cs="Times New Roman"/>
          <w:lang w:val="kk-KZ"/>
        </w:rPr>
      </w:pPr>
    </w:p>
    <w:p w:rsidR="00DD1ECC" w:rsidRDefault="00DD1ECC" w:rsidP="00D44A53">
      <w:pPr>
        <w:pStyle w:val="Style8"/>
        <w:widowControl/>
        <w:ind w:firstLine="567"/>
        <w:rPr>
          <w:rFonts w:ascii="Times New Roman" w:hAnsi="Times New Roman" w:cs="Times New Roman"/>
          <w:lang w:val="kk-KZ"/>
        </w:rPr>
      </w:pPr>
    </w:p>
    <w:p w:rsidR="00DD1ECC" w:rsidRDefault="00DD1ECC" w:rsidP="00D44A53">
      <w:pPr>
        <w:pStyle w:val="Style8"/>
        <w:widowControl/>
        <w:ind w:firstLine="567"/>
        <w:rPr>
          <w:rFonts w:ascii="Times New Roman" w:hAnsi="Times New Roman" w:cs="Times New Roman"/>
          <w:lang w:val="kk-KZ"/>
        </w:rPr>
      </w:pPr>
    </w:p>
    <w:p w:rsidR="00DD1ECC" w:rsidRPr="00DD1ECC" w:rsidRDefault="00DD1ECC" w:rsidP="00DD1ECC">
      <w:pPr>
        <w:pStyle w:val="Style8"/>
        <w:widowControl/>
        <w:ind w:firstLine="567"/>
        <w:rPr>
          <w:rFonts w:ascii="Times New Roman" w:hAnsi="Times New Roman" w:cs="Times New Roman"/>
          <w:b/>
          <w:lang w:val="kk-KZ"/>
        </w:rPr>
      </w:pPr>
      <w:r w:rsidRPr="00DD1ECC">
        <w:rPr>
          <w:rFonts w:ascii="Times New Roman" w:hAnsi="Times New Roman" w:cs="Times New Roman"/>
          <w:b/>
          <w:lang w:val="kk-KZ"/>
        </w:rPr>
        <w:lastRenderedPageBreak/>
        <w:t>4 Требования к качеству</w:t>
      </w:r>
    </w:p>
    <w:p w:rsidR="00DD1ECC" w:rsidRPr="00DD1ECC" w:rsidRDefault="00DD1ECC" w:rsidP="00DD1ECC">
      <w:pPr>
        <w:pStyle w:val="Style8"/>
        <w:widowControl/>
        <w:ind w:firstLine="567"/>
        <w:rPr>
          <w:rFonts w:ascii="Times New Roman" w:hAnsi="Times New Roman" w:cs="Times New Roman"/>
          <w:lang w:val="kk-KZ"/>
        </w:rPr>
      </w:pPr>
    </w:p>
    <w:p w:rsidR="00DD1ECC" w:rsidRPr="00DD1ECC" w:rsidRDefault="00DD1ECC" w:rsidP="00DD1ECC">
      <w:pPr>
        <w:pStyle w:val="Style8"/>
        <w:widowControl/>
        <w:ind w:firstLine="567"/>
        <w:rPr>
          <w:rFonts w:ascii="Times New Roman" w:hAnsi="Times New Roman" w:cs="Times New Roman"/>
          <w:b/>
          <w:lang w:val="kk-KZ"/>
        </w:rPr>
      </w:pPr>
      <w:r w:rsidRPr="00DD1ECC">
        <w:rPr>
          <w:rFonts w:ascii="Times New Roman" w:hAnsi="Times New Roman" w:cs="Times New Roman"/>
          <w:b/>
          <w:lang w:val="kk-KZ"/>
        </w:rPr>
        <w:t>4.1 Общие положения</w:t>
      </w:r>
    </w:p>
    <w:p w:rsidR="00DD1ECC" w:rsidRPr="00DD1ECC" w:rsidRDefault="00DD1ECC" w:rsidP="00DD1ECC">
      <w:pPr>
        <w:pStyle w:val="Style8"/>
        <w:widowControl/>
        <w:ind w:firstLine="567"/>
        <w:rPr>
          <w:rFonts w:ascii="Times New Roman" w:hAnsi="Times New Roman" w:cs="Times New Roman"/>
          <w:lang w:val="kk-KZ"/>
        </w:rPr>
      </w:pPr>
      <w:r w:rsidRPr="00DD1ECC">
        <w:rPr>
          <w:rFonts w:ascii="Times New Roman" w:hAnsi="Times New Roman" w:cs="Times New Roman"/>
          <w:lang w:val="kk-KZ"/>
        </w:rPr>
        <w:t>Требования к качеству, установленные в отношении воды для диализа (4.2), концентратов (4.3) и диализирующих растворов (4.4), идентичны требованиям стандартов ISO 23500-4, ISO 23500-3 и ISO 23500-5. Перед выполнением рекомендаций настоящего стандарта следует ознакомиться с последними изданиями указанных документов, чтобы убедиться в наличии/отсутствии каких-либо изменений в требованиях к качеству.</w:t>
      </w:r>
    </w:p>
    <w:p w:rsidR="00DD1ECC" w:rsidRDefault="00DD1ECC" w:rsidP="00DD1ECC">
      <w:pPr>
        <w:pStyle w:val="Style8"/>
        <w:widowControl/>
        <w:ind w:firstLine="567"/>
        <w:rPr>
          <w:rFonts w:ascii="Times New Roman" w:hAnsi="Times New Roman" w:cs="Times New Roman"/>
          <w:lang w:val="kk-KZ"/>
        </w:rPr>
      </w:pPr>
    </w:p>
    <w:p w:rsidR="00DD1ECC" w:rsidRPr="00DD1ECC" w:rsidRDefault="00DD1ECC" w:rsidP="00DD1ECC">
      <w:pPr>
        <w:pStyle w:val="Style8"/>
        <w:widowControl/>
        <w:ind w:firstLine="567"/>
        <w:rPr>
          <w:rFonts w:ascii="Times New Roman" w:hAnsi="Times New Roman" w:cs="Times New Roman"/>
          <w:b/>
          <w:lang w:val="kk-KZ"/>
        </w:rPr>
      </w:pPr>
      <w:r w:rsidRPr="00DD1ECC">
        <w:rPr>
          <w:rFonts w:ascii="Times New Roman" w:hAnsi="Times New Roman" w:cs="Times New Roman"/>
          <w:b/>
          <w:lang w:val="kk-KZ"/>
        </w:rPr>
        <w:t>4.2 Вода для диализа</w:t>
      </w:r>
    </w:p>
    <w:p w:rsidR="00DD1ECC" w:rsidRDefault="00DD1ECC" w:rsidP="00DD1ECC">
      <w:pPr>
        <w:pStyle w:val="Style8"/>
        <w:widowControl/>
        <w:ind w:firstLine="567"/>
        <w:rPr>
          <w:rFonts w:ascii="Times New Roman" w:hAnsi="Times New Roman" w:cs="Times New Roman"/>
          <w:lang w:val="kk-KZ"/>
        </w:rPr>
      </w:pPr>
    </w:p>
    <w:p w:rsidR="00DD1ECC" w:rsidRPr="00DD1ECC" w:rsidRDefault="00DD1ECC" w:rsidP="00DD1ECC">
      <w:pPr>
        <w:pStyle w:val="Style8"/>
        <w:widowControl/>
        <w:ind w:firstLine="567"/>
        <w:rPr>
          <w:rFonts w:ascii="Times New Roman" w:hAnsi="Times New Roman" w:cs="Times New Roman"/>
          <w:b/>
          <w:lang w:val="kk-KZ"/>
        </w:rPr>
      </w:pPr>
      <w:r w:rsidRPr="00DD1ECC">
        <w:rPr>
          <w:rFonts w:ascii="Times New Roman" w:hAnsi="Times New Roman" w:cs="Times New Roman"/>
          <w:b/>
          <w:lang w:val="kk-KZ"/>
        </w:rPr>
        <w:t>4.2.1 Общие положения</w:t>
      </w:r>
    </w:p>
    <w:p w:rsidR="00DD1ECC" w:rsidRPr="00DD1ECC" w:rsidRDefault="00DD1ECC" w:rsidP="00DD1ECC">
      <w:pPr>
        <w:pStyle w:val="Style8"/>
        <w:widowControl/>
        <w:ind w:firstLine="567"/>
        <w:rPr>
          <w:rFonts w:ascii="Times New Roman" w:hAnsi="Times New Roman" w:cs="Times New Roman"/>
          <w:lang w:val="kk-KZ"/>
        </w:rPr>
      </w:pPr>
      <w:r w:rsidRPr="00DD1ECC">
        <w:rPr>
          <w:rFonts w:ascii="Times New Roman" w:hAnsi="Times New Roman" w:cs="Times New Roman"/>
          <w:lang w:val="kk-KZ"/>
        </w:rPr>
        <w:t>Требования, содержащиеся в настоящем пункте, применяются к воде для диализа в месте ее использования. Таким образом, эти требования распространяются на систему водоподготовки в целом, а не на каждое из устройств, входящих в ее состав. Однако в совокупности отдельные устройства должны производить воду, которая, как минимум, соответствует требованиям настоящего пункта.</w:t>
      </w:r>
    </w:p>
    <w:p w:rsidR="00DD1ECC" w:rsidRPr="00DD1ECC" w:rsidRDefault="00DD1ECC" w:rsidP="00DD1ECC">
      <w:pPr>
        <w:pStyle w:val="Style8"/>
        <w:widowControl/>
        <w:ind w:firstLine="567"/>
        <w:rPr>
          <w:rFonts w:ascii="Times New Roman" w:hAnsi="Times New Roman" w:cs="Times New Roman"/>
          <w:b/>
          <w:lang w:val="kk-KZ"/>
        </w:rPr>
      </w:pPr>
      <w:r w:rsidRPr="00DD1ECC">
        <w:rPr>
          <w:rFonts w:ascii="Times New Roman" w:hAnsi="Times New Roman" w:cs="Times New Roman"/>
          <w:b/>
          <w:lang w:val="kk-KZ"/>
        </w:rPr>
        <w:t>4.2.2 Химические загрязнители в воде для диализа</w:t>
      </w:r>
    </w:p>
    <w:p w:rsidR="00DD1ECC" w:rsidRPr="00DD1ECC" w:rsidRDefault="00DD1ECC" w:rsidP="00DD1ECC">
      <w:pPr>
        <w:pStyle w:val="Style8"/>
        <w:widowControl/>
        <w:ind w:firstLine="567"/>
        <w:rPr>
          <w:rFonts w:ascii="Times New Roman" w:hAnsi="Times New Roman" w:cs="Times New Roman"/>
          <w:lang w:val="kk-KZ"/>
        </w:rPr>
      </w:pPr>
      <w:r w:rsidRPr="00DD1ECC">
        <w:rPr>
          <w:rFonts w:ascii="Times New Roman" w:hAnsi="Times New Roman" w:cs="Times New Roman"/>
          <w:lang w:val="kk-KZ"/>
        </w:rPr>
        <w:t>Вода для диализа не должна содержать веществ, содержание которых превышает уровни, указанные в таблицах 1 и 2. Изготовитель или поставщик полной системы водоподготовки должен рекомендовать систему, которая способна удовлетворить этим требованиям на основе анализа питательной воды. Конструкция системы должна отражать возможные сезонные колебания качества питательной воды. Изготовитель или поставщик полной системы водоподготовки и распределения воды должен продемонстрировать, что полная система водоподготовки, хранения и распределения воды способна отвечать требованиям ISO 23500-3 на момент установки.</w:t>
      </w:r>
    </w:p>
    <w:p w:rsidR="00DD1ECC" w:rsidRDefault="00DD1ECC" w:rsidP="00DD1ECC">
      <w:pPr>
        <w:pStyle w:val="Style8"/>
        <w:widowControl/>
        <w:ind w:firstLine="567"/>
        <w:rPr>
          <w:rFonts w:ascii="Times New Roman" w:hAnsi="Times New Roman" w:cs="Times New Roman"/>
          <w:lang w:val="kk-KZ"/>
        </w:rPr>
      </w:pPr>
    </w:p>
    <w:p w:rsidR="00DD1ECC" w:rsidRPr="00DD1ECC" w:rsidRDefault="00DD1ECC" w:rsidP="00DD1ECC">
      <w:pPr>
        <w:pStyle w:val="Style8"/>
        <w:widowControl/>
        <w:ind w:firstLine="567"/>
        <w:rPr>
          <w:rFonts w:ascii="Times New Roman" w:hAnsi="Times New Roman" w:cs="Times New Roman"/>
          <w:sz w:val="20"/>
          <w:szCs w:val="20"/>
          <w:lang w:val="kk-KZ"/>
        </w:rPr>
      </w:pPr>
      <w:r w:rsidRPr="00DD1ECC">
        <w:rPr>
          <w:rFonts w:ascii="Times New Roman" w:hAnsi="Times New Roman" w:cs="Times New Roman"/>
          <w:sz w:val="20"/>
          <w:szCs w:val="20"/>
          <w:lang w:val="kk-KZ"/>
        </w:rPr>
        <w:t>Примечание – Максимально допустимые уровни загрязняющих веществ, перечисленные в таблицах 1 и 2, включают ожидаемую неопределенность, связанную с аналитическими методами, перечисленными в таблице 4 ISO 23500-3:2019. Можно использовать и другие аналитические методы при условии, что такие методы были надлежащим образом валидированы и сопоставимы с приведенными методами.</w:t>
      </w:r>
    </w:p>
    <w:p w:rsidR="00DD1ECC" w:rsidRPr="00DD1ECC" w:rsidRDefault="00DD1ECC" w:rsidP="00DD1ECC">
      <w:pPr>
        <w:pStyle w:val="Style8"/>
        <w:widowControl/>
        <w:ind w:firstLine="567"/>
        <w:rPr>
          <w:rFonts w:ascii="Times New Roman" w:hAnsi="Times New Roman" w:cs="Times New Roman"/>
          <w:lang w:val="kk-KZ"/>
        </w:rPr>
      </w:pPr>
      <w:r w:rsidRPr="00DD1ECC">
        <w:rPr>
          <w:rFonts w:ascii="Times New Roman" w:hAnsi="Times New Roman" w:cs="Times New Roman"/>
          <w:lang w:val="kk-KZ"/>
        </w:rPr>
        <w:t> </w:t>
      </w:r>
    </w:p>
    <w:p w:rsidR="00DD1ECC" w:rsidRDefault="00DD1ECC" w:rsidP="00DD1ECC">
      <w:pPr>
        <w:pStyle w:val="Style8"/>
        <w:widowControl/>
        <w:ind w:firstLine="567"/>
        <w:rPr>
          <w:rFonts w:ascii="Times New Roman" w:hAnsi="Times New Roman" w:cs="Times New Roman"/>
          <w:lang w:val="kk-KZ"/>
        </w:rPr>
      </w:pPr>
      <w:r w:rsidRPr="00DD1ECC">
        <w:rPr>
          <w:rFonts w:ascii="Times New Roman" w:hAnsi="Times New Roman" w:cs="Times New Roman"/>
          <w:lang w:val="kk-KZ"/>
        </w:rPr>
        <w:t>После установки системы водоподготовки, хранения и распределения воды пользователь несет ответственность за регулярный контроль уровня химических загрязнений в воде для диализа и за соблюдение требований настоящего стандарта.</w:t>
      </w:r>
    </w:p>
    <w:p w:rsidR="00DD1ECC" w:rsidRDefault="00DD1ECC" w:rsidP="00D44A53">
      <w:pPr>
        <w:pStyle w:val="Style8"/>
        <w:widowControl/>
        <w:ind w:firstLine="567"/>
        <w:rPr>
          <w:rFonts w:ascii="Times New Roman" w:hAnsi="Times New Roman" w:cs="Times New Roman"/>
          <w:lang w:val="kk-KZ"/>
        </w:rPr>
      </w:pPr>
    </w:p>
    <w:p w:rsidR="00315BDE" w:rsidRPr="00315BDE" w:rsidRDefault="00315BDE" w:rsidP="00315BDE">
      <w:pPr>
        <w:pStyle w:val="Style8"/>
        <w:widowControl/>
        <w:ind w:firstLine="0"/>
        <w:jc w:val="center"/>
        <w:rPr>
          <w:rFonts w:ascii="Times New Roman" w:hAnsi="Times New Roman" w:cs="Times New Roman"/>
          <w:b/>
        </w:rPr>
      </w:pPr>
      <w:r w:rsidRPr="00315BDE">
        <w:rPr>
          <w:rFonts w:ascii="Times New Roman" w:hAnsi="Times New Roman" w:cs="Times New Roman"/>
          <w:b/>
          <w:lang w:val="kk-KZ"/>
        </w:rPr>
        <w:t xml:space="preserve">Таблица 1 – Максимально допустимые уровни токсичных химических веществ и электролитов диализирующего раствора в воде для диализа </w:t>
      </w:r>
      <w:r w:rsidRPr="00315BDE">
        <w:rPr>
          <w:rFonts w:ascii="Times New Roman" w:hAnsi="Times New Roman" w:cs="Times New Roman"/>
          <w:b/>
          <w:vertAlign w:val="superscript"/>
          <w:lang w:val="en-US"/>
        </w:rPr>
        <w:t>a</w:t>
      </w:r>
      <w:r w:rsidRPr="00315BDE">
        <w:rPr>
          <w:rFonts w:ascii="Times New Roman" w:hAnsi="Times New Roman" w:cs="Times New Roman"/>
          <w:b/>
          <w:vertAlign w:val="superscript"/>
        </w:rPr>
        <w:t xml:space="preserve">, </w:t>
      </w:r>
      <w:r w:rsidRPr="00315BDE">
        <w:rPr>
          <w:rFonts w:ascii="Times New Roman" w:hAnsi="Times New Roman" w:cs="Times New Roman"/>
          <w:b/>
          <w:vertAlign w:val="superscript"/>
          <w:lang w:val="en-US"/>
        </w:rPr>
        <w:t>b</w:t>
      </w:r>
    </w:p>
    <w:tbl>
      <w:tblPr>
        <w:tblW w:w="9356" w:type="dxa"/>
        <w:tblInd w:w="40" w:type="dxa"/>
        <w:tblLayout w:type="fixed"/>
        <w:tblCellMar>
          <w:left w:w="40" w:type="dxa"/>
          <w:right w:w="40" w:type="dxa"/>
        </w:tblCellMar>
        <w:tblLook w:val="0000" w:firstRow="0" w:lastRow="0" w:firstColumn="0" w:lastColumn="0" w:noHBand="0" w:noVBand="0"/>
      </w:tblPr>
      <w:tblGrid>
        <w:gridCol w:w="4930"/>
        <w:gridCol w:w="4426"/>
      </w:tblGrid>
      <w:tr w:rsidR="00315BDE" w:rsidRPr="00315BDE" w:rsidTr="00315BDE">
        <w:tc>
          <w:tcPr>
            <w:tcW w:w="4930"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ind w:firstLine="0"/>
              <w:jc w:val="center"/>
              <w:rPr>
                <w:rFonts w:eastAsia="Calibri"/>
                <w:b/>
                <w:sz w:val="24"/>
                <w:szCs w:val="24"/>
                <w:lang w:eastAsia="en-US"/>
              </w:rPr>
            </w:pPr>
            <w:r w:rsidRPr="00315BDE">
              <w:rPr>
                <w:rFonts w:eastAsia="Calibri"/>
                <w:b/>
                <w:sz w:val="24"/>
                <w:szCs w:val="24"/>
                <w:lang w:eastAsia="en-US"/>
              </w:rPr>
              <w:t>Загрязнитель</w:t>
            </w:r>
          </w:p>
        </w:tc>
        <w:tc>
          <w:tcPr>
            <w:tcW w:w="4426"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ind w:firstLine="0"/>
              <w:jc w:val="center"/>
              <w:rPr>
                <w:rFonts w:eastAsia="Calibri"/>
                <w:b/>
                <w:sz w:val="24"/>
                <w:szCs w:val="24"/>
                <w:lang w:eastAsia="en-US"/>
              </w:rPr>
            </w:pPr>
            <w:r w:rsidRPr="00315BDE">
              <w:rPr>
                <w:rFonts w:eastAsia="Calibri"/>
                <w:b/>
                <w:sz w:val="24"/>
                <w:szCs w:val="24"/>
                <w:lang w:eastAsia="en-US"/>
              </w:rPr>
              <w:t>Максимальная концентрация, мг/лс</w:t>
            </w:r>
          </w:p>
        </w:tc>
      </w:tr>
      <w:tr w:rsidR="00315BDE" w:rsidRPr="00315BDE" w:rsidTr="00315BDE">
        <w:tc>
          <w:tcPr>
            <w:tcW w:w="9356" w:type="dxa"/>
            <w:gridSpan w:val="2"/>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b/>
                <w:sz w:val="24"/>
                <w:szCs w:val="24"/>
                <w:lang w:eastAsia="en-US"/>
              </w:rPr>
            </w:pPr>
            <w:r w:rsidRPr="00315BDE">
              <w:rPr>
                <w:rFonts w:eastAsia="Calibri"/>
                <w:b/>
                <w:sz w:val="24"/>
                <w:szCs w:val="24"/>
                <w:lang w:eastAsia="en-US"/>
              </w:rPr>
              <w:t>Загрязнители с документально подтвержденной токсичностью при гемодиализе</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Алюминий</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0,01</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 xml:space="preserve">Общий </w:t>
            </w:r>
            <w:r w:rsidRPr="00315BDE">
              <w:rPr>
                <w:rFonts w:eastAsia="Calibri"/>
                <w:iCs/>
                <w:sz w:val="24"/>
                <w:szCs w:val="24"/>
                <w:lang w:eastAsia="en-US"/>
              </w:rPr>
              <w:t>хлор</w:t>
            </w:r>
            <w:proofErr w:type="gramStart"/>
            <w:r w:rsidRPr="00315BDE">
              <w:rPr>
                <w:rFonts w:eastAsia="Calibri"/>
                <w:iCs/>
                <w:sz w:val="24"/>
                <w:szCs w:val="24"/>
                <w:vertAlign w:val="superscript"/>
                <w:lang w:eastAsia="en-US"/>
              </w:rPr>
              <w:t>d</w:t>
            </w:r>
            <w:proofErr w:type="gramEnd"/>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0,1</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Медь</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0,1</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Фторид</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0,2</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Свинец</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0,005</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Нитрат (в виде N)</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2</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Сульфат</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100</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Цинк</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0,1</w:t>
            </w:r>
          </w:p>
        </w:tc>
      </w:tr>
      <w:tr w:rsidR="00315BDE" w:rsidRPr="00315BDE" w:rsidTr="00315BDE">
        <w:tc>
          <w:tcPr>
            <w:tcW w:w="9356" w:type="dxa"/>
            <w:gridSpan w:val="2"/>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b/>
                <w:sz w:val="24"/>
                <w:szCs w:val="24"/>
                <w:lang w:eastAsia="en-US"/>
              </w:rPr>
            </w:pPr>
            <w:proofErr w:type="gramStart"/>
            <w:r w:rsidRPr="00315BDE">
              <w:rPr>
                <w:rFonts w:eastAsia="Calibri"/>
                <w:b/>
                <w:sz w:val="24"/>
                <w:szCs w:val="24"/>
                <w:lang w:eastAsia="en-US"/>
              </w:rPr>
              <w:t>Электролиты</w:t>
            </w:r>
            <w:proofErr w:type="gramEnd"/>
            <w:r w:rsidRPr="00315BDE">
              <w:rPr>
                <w:rFonts w:eastAsia="Calibri"/>
                <w:b/>
                <w:sz w:val="24"/>
                <w:szCs w:val="24"/>
                <w:lang w:eastAsia="en-US"/>
              </w:rPr>
              <w:t xml:space="preserve"> обычно содержащиеся в диализирующем растворе</w:t>
            </w:r>
          </w:p>
        </w:tc>
      </w:tr>
      <w:tr w:rsidR="00315BDE" w:rsidRPr="00315BDE" w:rsidTr="00315BDE">
        <w:tc>
          <w:tcPr>
            <w:tcW w:w="4930" w:type="dxa"/>
            <w:tcBorders>
              <w:top w:val="single" w:sz="6" w:space="0" w:color="auto"/>
              <w:left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Кальций</w:t>
            </w:r>
          </w:p>
        </w:tc>
        <w:tc>
          <w:tcPr>
            <w:tcW w:w="4426" w:type="dxa"/>
            <w:tcBorders>
              <w:top w:val="single" w:sz="6" w:space="0" w:color="auto"/>
              <w:left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2 (0,05 ммоль/л)</w:t>
            </w:r>
          </w:p>
        </w:tc>
      </w:tr>
      <w:tr w:rsidR="00315BDE" w:rsidRPr="00315BDE" w:rsidTr="00315BDE">
        <w:tc>
          <w:tcPr>
            <w:tcW w:w="9356" w:type="dxa"/>
            <w:gridSpan w:val="2"/>
            <w:tcBorders>
              <w:bottom w:val="single" w:sz="4" w:space="0" w:color="auto"/>
            </w:tcBorders>
          </w:tcPr>
          <w:p w:rsidR="00315BDE" w:rsidRPr="00315BDE" w:rsidRDefault="00315BDE" w:rsidP="00315BDE">
            <w:pPr>
              <w:widowControl/>
              <w:autoSpaceDE/>
              <w:autoSpaceDN/>
              <w:adjustRightInd/>
              <w:ind w:firstLine="0"/>
              <w:jc w:val="center"/>
              <w:rPr>
                <w:rFonts w:eastAsia="Calibri"/>
                <w:i/>
                <w:sz w:val="24"/>
                <w:szCs w:val="24"/>
                <w:lang w:val="kk-KZ" w:eastAsia="en-US"/>
              </w:rPr>
            </w:pPr>
            <w:r w:rsidRPr="00315BDE">
              <w:rPr>
                <w:rFonts w:eastAsia="Calibri"/>
                <w:i/>
                <w:sz w:val="24"/>
                <w:szCs w:val="24"/>
                <w:lang w:val="kk-KZ" w:eastAsia="en-US"/>
              </w:rPr>
              <w:lastRenderedPageBreak/>
              <w:t>Окончание таблицы 1</w:t>
            </w:r>
          </w:p>
        </w:tc>
      </w:tr>
      <w:tr w:rsidR="00315BDE" w:rsidRPr="00315BDE" w:rsidTr="00315BDE">
        <w:tc>
          <w:tcPr>
            <w:tcW w:w="4930" w:type="dxa"/>
            <w:tcBorders>
              <w:top w:val="single" w:sz="4"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ind w:firstLine="0"/>
              <w:jc w:val="center"/>
              <w:rPr>
                <w:rFonts w:eastAsia="Calibri"/>
                <w:b/>
                <w:sz w:val="24"/>
                <w:szCs w:val="24"/>
                <w:lang w:eastAsia="en-US"/>
              </w:rPr>
            </w:pPr>
            <w:r w:rsidRPr="00315BDE">
              <w:rPr>
                <w:rFonts w:eastAsia="Calibri"/>
                <w:b/>
                <w:sz w:val="24"/>
                <w:szCs w:val="24"/>
                <w:lang w:eastAsia="en-US"/>
              </w:rPr>
              <w:t>Загрязнитель</w:t>
            </w:r>
          </w:p>
        </w:tc>
        <w:tc>
          <w:tcPr>
            <w:tcW w:w="4426" w:type="dxa"/>
            <w:tcBorders>
              <w:top w:val="single" w:sz="4"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ind w:firstLine="0"/>
              <w:jc w:val="center"/>
              <w:rPr>
                <w:rFonts w:eastAsia="Calibri"/>
                <w:b/>
                <w:sz w:val="24"/>
                <w:szCs w:val="24"/>
                <w:lang w:eastAsia="en-US"/>
              </w:rPr>
            </w:pPr>
            <w:r w:rsidRPr="00315BDE">
              <w:rPr>
                <w:rFonts w:eastAsia="Calibri"/>
                <w:b/>
                <w:sz w:val="24"/>
                <w:szCs w:val="24"/>
                <w:lang w:eastAsia="en-US"/>
              </w:rPr>
              <w:t>Максимальная концентрация, мг/л</w:t>
            </w:r>
            <w:r w:rsidRPr="00315BDE">
              <w:rPr>
                <w:rFonts w:eastAsia="Calibri"/>
                <w:b/>
                <w:sz w:val="24"/>
                <w:szCs w:val="24"/>
                <w:vertAlign w:val="superscript"/>
                <w:lang w:eastAsia="en-US"/>
              </w:rPr>
              <w:t>с</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Магний</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4 (0,15 ммоль/л)</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Калий</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8 (0,2 ммоль/л)</w:t>
            </w:r>
          </w:p>
        </w:tc>
      </w:tr>
      <w:tr w:rsidR="00315BDE" w:rsidRPr="00315BDE" w:rsidTr="00315BDE">
        <w:tc>
          <w:tcPr>
            <w:tcW w:w="493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Calibri"/>
                <w:sz w:val="24"/>
                <w:szCs w:val="24"/>
                <w:lang w:eastAsia="en-US"/>
              </w:rPr>
            </w:pPr>
            <w:r w:rsidRPr="00315BDE">
              <w:rPr>
                <w:rFonts w:eastAsia="Calibri"/>
                <w:sz w:val="24"/>
                <w:szCs w:val="24"/>
                <w:lang w:eastAsia="en-US"/>
              </w:rPr>
              <w:t>Натрий</w:t>
            </w:r>
          </w:p>
        </w:tc>
        <w:tc>
          <w:tcPr>
            <w:tcW w:w="442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Calibri"/>
                <w:sz w:val="24"/>
                <w:szCs w:val="24"/>
                <w:lang w:eastAsia="en-US"/>
              </w:rPr>
            </w:pPr>
            <w:r w:rsidRPr="00315BDE">
              <w:rPr>
                <w:rFonts w:eastAsia="Calibri"/>
                <w:sz w:val="24"/>
                <w:szCs w:val="24"/>
                <w:lang w:eastAsia="en-US"/>
              </w:rPr>
              <w:t>70 (3,0 ммоль/л)</w:t>
            </w:r>
          </w:p>
        </w:tc>
      </w:tr>
      <w:tr w:rsidR="00315BDE" w:rsidRPr="00315BDE" w:rsidTr="00315BDE">
        <w:tc>
          <w:tcPr>
            <w:tcW w:w="9356" w:type="dxa"/>
            <w:gridSpan w:val="2"/>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527"/>
              <w:rPr>
                <w:rFonts w:eastAsia="Calibri"/>
                <w:lang w:eastAsia="en-US"/>
              </w:rPr>
            </w:pPr>
            <w:r w:rsidRPr="00315BDE">
              <w:rPr>
                <w:rFonts w:eastAsia="Calibri"/>
                <w:vertAlign w:val="superscript"/>
                <w:lang w:eastAsia="en-US"/>
              </w:rPr>
              <w:t>a</w:t>
            </w:r>
            <w:r w:rsidRPr="00315BDE">
              <w:rPr>
                <w:rFonts w:eastAsia="Calibri"/>
                <w:lang w:eastAsia="en-US"/>
              </w:rPr>
              <w:t xml:space="preserve"> Руководитель отделения диализа несет полную ответственность за обеспечение качества воды для диализа.</w:t>
            </w:r>
          </w:p>
          <w:p w:rsidR="00315BDE" w:rsidRPr="00315BDE" w:rsidRDefault="00315BDE" w:rsidP="00315BDE">
            <w:pPr>
              <w:widowControl/>
              <w:autoSpaceDE/>
              <w:autoSpaceDN/>
              <w:adjustRightInd/>
              <w:ind w:firstLine="527"/>
              <w:rPr>
                <w:rFonts w:eastAsia="Calibri"/>
                <w:lang w:eastAsia="en-US"/>
              </w:rPr>
            </w:pPr>
            <w:r w:rsidRPr="00315BDE">
              <w:rPr>
                <w:rFonts w:eastAsia="Calibri"/>
                <w:vertAlign w:val="superscript"/>
                <w:lang w:eastAsia="en-US"/>
              </w:rPr>
              <w:t>b</w:t>
            </w:r>
            <w:r w:rsidRPr="00315BDE">
              <w:rPr>
                <w:rFonts w:eastAsia="Calibri"/>
                <w:lang w:eastAsia="en-US"/>
              </w:rPr>
              <w:t xml:space="preserve"> Читателю рекомендуется обратиться к последней версии стандарта ISO 23500-3, чтобы убедиться в отсутствии изменений в этой таблице.</w:t>
            </w:r>
          </w:p>
          <w:p w:rsidR="00315BDE" w:rsidRPr="00315BDE" w:rsidRDefault="00315BDE" w:rsidP="00315BDE">
            <w:pPr>
              <w:widowControl/>
              <w:autoSpaceDE/>
              <w:autoSpaceDN/>
              <w:adjustRightInd/>
              <w:ind w:firstLine="527"/>
              <w:rPr>
                <w:rFonts w:eastAsia="Calibri"/>
                <w:lang w:eastAsia="en-US"/>
              </w:rPr>
            </w:pPr>
            <w:r w:rsidRPr="00315BDE">
              <w:rPr>
                <w:rFonts w:eastAsia="Calibri"/>
                <w:vertAlign w:val="superscript"/>
                <w:lang w:eastAsia="en-US"/>
              </w:rPr>
              <w:t>с</w:t>
            </w:r>
            <w:proofErr w:type="gramStart"/>
            <w:r w:rsidRPr="00315BDE">
              <w:rPr>
                <w:rFonts w:eastAsia="Calibri"/>
                <w:lang w:eastAsia="en-US"/>
              </w:rPr>
              <w:t xml:space="preserve"> Е</w:t>
            </w:r>
            <w:proofErr w:type="gramEnd"/>
            <w:r w:rsidRPr="00315BDE">
              <w:rPr>
                <w:rFonts w:eastAsia="Calibri"/>
                <w:lang w:eastAsia="en-US"/>
              </w:rPr>
              <w:t>сли не указано иное.</w:t>
            </w:r>
          </w:p>
          <w:p w:rsidR="00315BDE" w:rsidRPr="00315BDE" w:rsidRDefault="00315BDE" w:rsidP="00315BDE">
            <w:pPr>
              <w:widowControl/>
              <w:autoSpaceDE/>
              <w:autoSpaceDN/>
              <w:adjustRightInd/>
              <w:ind w:firstLine="527"/>
              <w:rPr>
                <w:rFonts w:eastAsia="Calibri"/>
                <w:lang w:eastAsia="en-US"/>
              </w:rPr>
            </w:pPr>
            <w:r w:rsidRPr="00315BDE">
              <w:rPr>
                <w:rFonts w:eastAsia="Calibri"/>
                <w:vertAlign w:val="superscript"/>
                <w:lang w:eastAsia="en-US"/>
              </w:rPr>
              <w:t>d</w:t>
            </w:r>
            <w:proofErr w:type="gramStart"/>
            <w:r w:rsidRPr="00315BDE">
              <w:rPr>
                <w:rFonts w:eastAsia="Calibri"/>
                <w:lang w:eastAsia="en-US"/>
              </w:rPr>
              <w:t xml:space="preserve"> П</w:t>
            </w:r>
            <w:proofErr w:type="gramEnd"/>
            <w:r w:rsidRPr="00315BDE">
              <w:rPr>
                <w:rFonts w:eastAsia="Calibri"/>
                <w:lang w:eastAsia="en-US"/>
              </w:rPr>
              <w:t>ри добавлении хлора в воду, часть хлора вступает в реакцию с органическими материалами и металлами в воде и недоступна для дезинфекции (потребность воды в хлоре). Оставшийся хлор представляет собой общий хлор и представляет собой сумму свободного хлора (несвязанного) хлора и комбинированного хлора.</w:t>
            </w:r>
          </w:p>
          <w:p w:rsidR="00315BDE" w:rsidRPr="00315BDE" w:rsidRDefault="00315BDE" w:rsidP="00315BDE">
            <w:pPr>
              <w:widowControl/>
              <w:autoSpaceDE/>
              <w:autoSpaceDN/>
              <w:adjustRightInd/>
              <w:ind w:firstLine="527"/>
              <w:rPr>
                <w:rFonts w:eastAsia="Calibri"/>
                <w:sz w:val="24"/>
                <w:szCs w:val="24"/>
                <w:lang w:eastAsia="en-US"/>
              </w:rPr>
            </w:pPr>
            <w:r w:rsidRPr="00315BDE">
              <w:rPr>
                <w:rFonts w:eastAsia="Arial"/>
                <w:lang w:eastAsia="en-US"/>
              </w:rPr>
              <w:t xml:space="preserve">Прямого метода измерения хлорамина не существует. Он обычно устанавливается путем измерения общей и свободной концентрации хлора и вычисления разности. При использовании тестов на общий хлор в качестве единичного анализа максимальный </w:t>
            </w:r>
            <w:proofErr w:type="gramStart"/>
            <w:r w:rsidRPr="00315BDE">
              <w:rPr>
                <w:rFonts w:eastAsia="Arial"/>
                <w:lang w:eastAsia="en-US"/>
              </w:rPr>
              <w:t>уровень</w:t>
            </w:r>
            <w:proofErr w:type="gramEnd"/>
            <w:r w:rsidRPr="00315BDE">
              <w:rPr>
                <w:rFonts w:eastAsia="Arial"/>
                <w:lang w:eastAsia="en-US"/>
              </w:rPr>
              <w:t xml:space="preserve"> как хлора, так и хлорамина не должен превышать 0,1 мг/л. Поскольку нет никакого различия между хлором и хлорамином, допустимо предполагать, что весь присутствующий хлор является хлорамином.</w:t>
            </w:r>
          </w:p>
        </w:tc>
      </w:tr>
    </w:tbl>
    <w:p w:rsidR="00D44A53" w:rsidRPr="00315BDE" w:rsidRDefault="00D44A53" w:rsidP="00665703">
      <w:pPr>
        <w:pStyle w:val="Style26"/>
        <w:widowControl/>
        <w:spacing w:line="240" w:lineRule="auto"/>
        <w:ind w:firstLine="567"/>
        <w:rPr>
          <w:rStyle w:val="FontStyle50"/>
          <w:rFonts w:ascii="Times New Roman" w:cs="Times New Roman"/>
          <w:sz w:val="24"/>
          <w:szCs w:val="24"/>
          <w:lang w:eastAsia="en-US"/>
        </w:rPr>
      </w:pPr>
    </w:p>
    <w:p w:rsidR="00315BDE" w:rsidRDefault="00315BDE" w:rsidP="00315BDE">
      <w:pPr>
        <w:pStyle w:val="Style26"/>
        <w:widowControl/>
        <w:tabs>
          <w:tab w:val="left" w:pos="0"/>
        </w:tabs>
        <w:spacing w:line="240" w:lineRule="auto"/>
        <w:ind w:firstLine="0"/>
        <w:jc w:val="center"/>
        <w:rPr>
          <w:rStyle w:val="FontStyle50"/>
          <w:rFonts w:ascii="Times New Roman" w:cs="Times New Roman"/>
          <w:b/>
          <w:sz w:val="24"/>
          <w:szCs w:val="24"/>
          <w:vertAlign w:val="superscript"/>
          <w:lang w:val="kk-KZ" w:eastAsia="en-US"/>
        </w:rPr>
      </w:pPr>
      <w:r w:rsidRPr="00315BDE">
        <w:rPr>
          <w:rStyle w:val="FontStyle50"/>
          <w:rFonts w:ascii="Times New Roman" w:cs="Times New Roman"/>
          <w:b/>
          <w:sz w:val="24"/>
          <w:szCs w:val="24"/>
          <w:lang w:eastAsia="en-US"/>
        </w:rPr>
        <w:t>Таблица 2 - Максимально допустимые уровни содержания других микроэлементов в воде для диализа</w:t>
      </w:r>
      <w:r w:rsidRPr="00315BDE">
        <w:rPr>
          <w:rStyle w:val="FontStyle50"/>
          <w:rFonts w:ascii="Times New Roman" w:cs="Times New Roman"/>
          <w:b/>
          <w:sz w:val="24"/>
          <w:szCs w:val="24"/>
          <w:lang w:val="kk-KZ" w:eastAsia="en-US"/>
        </w:rPr>
        <w:t xml:space="preserve"> </w:t>
      </w:r>
      <w:r w:rsidRPr="00315BDE">
        <w:rPr>
          <w:rStyle w:val="FontStyle50"/>
          <w:rFonts w:ascii="Times New Roman" w:cs="Times New Roman"/>
          <w:b/>
          <w:sz w:val="24"/>
          <w:szCs w:val="24"/>
          <w:vertAlign w:val="superscript"/>
          <w:lang w:val="kk-KZ" w:eastAsia="en-US"/>
        </w:rPr>
        <w:t>а</w:t>
      </w:r>
    </w:p>
    <w:tbl>
      <w:tblPr>
        <w:tblW w:w="9356" w:type="dxa"/>
        <w:tblInd w:w="40" w:type="dxa"/>
        <w:tblLayout w:type="fixed"/>
        <w:tblCellMar>
          <w:left w:w="40" w:type="dxa"/>
          <w:right w:w="40" w:type="dxa"/>
        </w:tblCellMar>
        <w:tblLook w:val="0000" w:firstRow="0" w:lastRow="0" w:firstColumn="0" w:lastColumn="0" w:noHBand="0" w:noVBand="0"/>
      </w:tblPr>
      <w:tblGrid>
        <w:gridCol w:w="4940"/>
        <w:gridCol w:w="4416"/>
      </w:tblGrid>
      <w:tr w:rsidR="00315BDE" w:rsidRPr="00315BDE" w:rsidTr="00315BDE">
        <w:tc>
          <w:tcPr>
            <w:tcW w:w="4940"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ind w:firstLine="0"/>
              <w:jc w:val="center"/>
              <w:rPr>
                <w:rFonts w:eastAsia="Arial"/>
                <w:b/>
                <w:sz w:val="24"/>
                <w:szCs w:val="24"/>
                <w:lang w:eastAsia="en-US"/>
              </w:rPr>
            </w:pPr>
            <w:r w:rsidRPr="00315BDE">
              <w:rPr>
                <w:rFonts w:eastAsia="Arial"/>
                <w:b/>
                <w:sz w:val="24"/>
                <w:szCs w:val="24"/>
                <w:lang w:eastAsia="en-US"/>
              </w:rPr>
              <w:t>Загрязнитель</w:t>
            </w:r>
          </w:p>
        </w:tc>
        <w:tc>
          <w:tcPr>
            <w:tcW w:w="4416"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ind w:firstLine="0"/>
              <w:jc w:val="center"/>
              <w:rPr>
                <w:rFonts w:eastAsia="Arial"/>
                <w:b/>
                <w:sz w:val="24"/>
                <w:szCs w:val="24"/>
                <w:lang w:eastAsia="en-US"/>
              </w:rPr>
            </w:pPr>
            <w:r w:rsidRPr="00315BDE">
              <w:rPr>
                <w:rFonts w:eastAsia="Arial"/>
                <w:b/>
                <w:sz w:val="24"/>
                <w:szCs w:val="24"/>
                <w:lang w:eastAsia="en-US"/>
              </w:rPr>
              <w:t>Максимальная концентрация, мг/л</w:t>
            </w:r>
          </w:p>
        </w:tc>
      </w:tr>
      <w:tr w:rsidR="00315BDE" w:rsidRPr="00315BDE" w:rsidTr="00315BDE">
        <w:tc>
          <w:tcPr>
            <w:tcW w:w="4940"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Сурьма</w:t>
            </w:r>
          </w:p>
        </w:tc>
        <w:tc>
          <w:tcPr>
            <w:tcW w:w="4416"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0,006</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Мышьяк</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0,005</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Барий</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0,1</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Бериллий</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0,0004</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Кадмий</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0,001</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Хром</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0,014</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Ртуть</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0,0002</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Селен</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0,09</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Серебро</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0,005</w:t>
            </w:r>
          </w:p>
        </w:tc>
      </w:tr>
      <w:tr w:rsidR="00315BDE" w:rsidRPr="00315BDE" w:rsidTr="00315BDE">
        <w:tc>
          <w:tcPr>
            <w:tcW w:w="494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rPr>
                <w:rFonts w:eastAsia="Arial"/>
                <w:sz w:val="24"/>
                <w:szCs w:val="24"/>
                <w:lang w:eastAsia="en-US"/>
              </w:rPr>
            </w:pPr>
            <w:r w:rsidRPr="00315BDE">
              <w:rPr>
                <w:rFonts w:eastAsia="Arial"/>
                <w:sz w:val="24"/>
                <w:szCs w:val="24"/>
                <w:lang w:eastAsia="en-US"/>
              </w:rPr>
              <w:t>Таллий</w:t>
            </w:r>
          </w:p>
        </w:tc>
        <w:tc>
          <w:tcPr>
            <w:tcW w:w="4416"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0"/>
              <w:jc w:val="center"/>
              <w:rPr>
                <w:rFonts w:eastAsia="Arial"/>
                <w:sz w:val="24"/>
                <w:szCs w:val="24"/>
                <w:lang w:eastAsia="en-US"/>
              </w:rPr>
            </w:pPr>
            <w:r w:rsidRPr="00315BDE">
              <w:rPr>
                <w:rFonts w:eastAsia="Arial"/>
                <w:sz w:val="24"/>
                <w:szCs w:val="24"/>
                <w:lang w:eastAsia="en-US"/>
              </w:rPr>
              <w:t>0,002</w:t>
            </w:r>
          </w:p>
        </w:tc>
      </w:tr>
      <w:tr w:rsidR="00315BDE" w:rsidRPr="00315BDE" w:rsidTr="00315BDE">
        <w:tc>
          <w:tcPr>
            <w:tcW w:w="9356" w:type="dxa"/>
            <w:gridSpan w:val="2"/>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527"/>
              <w:rPr>
                <w:rFonts w:eastAsia="Arial"/>
                <w:sz w:val="24"/>
                <w:szCs w:val="24"/>
                <w:lang w:eastAsia="en-US"/>
              </w:rPr>
            </w:pPr>
            <w:r w:rsidRPr="00315BDE">
              <w:rPr>
                <w:rFonts w:eastAsia="Arial"/>
                <w:sz w:val="24"/>
                <w:szCs w:val="24"/>
                <w:vertAlign w:val="superscript"/>
                <w:lang w:eastAsia="en-US"/>
              </w:rPr>
              <w:t>а</w:t>
            </w:r>
            <w:r w:rsidRPr="00315BDE">
              <w:rPr>
                <w:rFonts w:eastAsia="Arial"/>
                <w:sz w:val="24"/>
                <w:szCs w:val="24"/>
                <w:lang w:eastAsia="en-US"/>
              </w:rPr>
              <w:t xml:space="preserve"> Читателю рекомендуется обратиться к последней версии стандарта ISO 23500-3, чтобы убедиться в отсутствии изменений в указанных максимальных концентрациях.</w:t>
            </w:r>
          </w:p>
        </w:tc>
      </w:tr>
    </w:tbl>
    <w:p w:rsidR="00315BDE" w:rsidRPr="00315BDE" w:rsidRDefault="00315BDE" w:rsidP="00315BDE">
      <w:pPr>
        <w:pStyle w:val="Style26"/>
        <w:widowControl/>
        <w:tabs>
          <w:tab w:val="left" w:pos="0"/>
        </w:tabs>
        <w:spacing w:line="240" w:lineRule="auto"/>
        <w:ind w:firstLine="0"/>
        <w:jc w:val="center"/>
        <w:rPr>
          <w:rStyle w:val="FontStyle50"/>
          <w:rFonts w:ascii="Times New Roman" w:cs="Times New Roman"/>
          <w:b/>
          <w:sz w:val="24"/>
          <w:szCs w:val="24"/>
          <w:lang w:eastAsia="en-US"/>
        </w:rPr>
      </w:pP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В приведенную выше таблицу не включены какие-либо ограничения в отношении органических соединений. В настоящее время существует ограниченное количество документальных свидетельств того, что их воздействие влияет на самочувствие пациентов. Предполагаемой отправной точкой для установления того, вызывают ли такие соединения опасность, являются Национальные требования к содержанию органических соединений в питьевой воде.</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Поскольку органические соединения могут быть эффективно удалены с помощью слоев активированного угля или фильтров, отделение диализа должно тщательно продумать их размеры, чтобы обеспечить достаточную емкость для удаления органических соединений в случае необходимости.</w:t>
      </w:r>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 xml:space="preserve">4.2.3 Органический углерод, пестициды и другие химические вещества </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 xml:space="preserve">Присутствие органических соединений, таких как пестициды, полициклические ароматические углеводороды и другие химические вещества, такие как фармацевтические препараты и эндокринные разрушители у пациентов, находящихся на гемодиализе, трудно определить. Последствия воздействия, вероятно, носят долгосрочный характер, и </w:t>
      </w:r>
      <w:r w:rsidRPr="00315BDE">
        <w:rPr>
          <w:rStyle w:val="FontStyle50"/>
          <w:rFonts w:ascii="Times New Roman" w:cs="Times New Roman"/>
          <w:sz w:val="24"/>
          <w:szCs w:val="24"/>
          <w:lang w:eastAsia="en-US"/>
        </w:rPr>
        <w:lastRenderedPageBreak/>
        <w:t>технически трудно и дорого измерять эти вещества на регулярной основе. Кроме того, отсутствуют доказательства их широкого присутствия в воде: хотя признается, что возможны непреднамеренные сбросы. В связи с этим в настоящее время невозможно определить пределы их присутствия в воде, используемой при приготовлении диализирующего раствора.</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 xml:space="preserve">Нанофильтрация и обратный осмос </w:t>
      </w:r>
      <w:proofErr w:type="gramStart"/>
      <w:r w:rsidRPr="00315BDE">
        <w:rPr>
          <w:rStyle w:val="FontStyle50"/>
          <w:rFonts w:ascii="Times New Roman" w:cs="Times New Roman"/>
          <w:sz w:val="24"/>
          <w:szCs w:val="24"/>
          <w:lang w:eastAsia="en-US"/>
        </w:rPr>
        <w:t>способны</w:t>
      </w:r>
      <w:proofErr w:type="gramEnd"/>
      <w:r w:rsidRPr="00315BDE">
        <w:rPr>
          <w:rStyle w:val="FontStyle50"/>
          <w:rFonts w:ascii="Times New Roman" w:cs="Times New Roman"/>
          <w:sz w:val="24"/>
          <w:szCs w:val="24"/>
          <w:lang w:eastAsia="en-US"/>
        </w:rPr>
        <w:t xml:space="preserve"> к значительному отторжению многих таких соединений. Гранулированный активированный уголь (GAC) также очень эффективен при удалении большинства этих химических веществ. </w:t>
      </w:r>
      <w:proofErr w:type="gramStart"/>
      <w:r w:rsidRPr="00315BDE">
        <w:rPr>
          <w:rStyle w:val="FontStyle50"/>
          <w:rFonts w:ascii="Times New Roman" w:cs="Times New Roman"/>
          <w:sz w:val="24"/>
          <w:szCs w:val="24"/>
          <w:lang w:eastAsia="en-US"/>
        </w:rPr>
        <w:t>Однако, поскольку гранулированный активированный уголь широко используется для удаления хлора/хлорамина, его использование для удаления органических углеродов, пестицидов и других химических веществ будет зависеть от размера угольных фильтров и/или слоев, и пользователи должны быть предупреждены о соответствующих размерах, поскольку большинство валентностей углерода может быть уже занято и недоступно для дальнейшей деятельности по удалению.</w:t>
      </w:r>
      <w:proofErr w:type="gramEnd"/>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4.2.4 Микробиологические загрязнения в воде для диализа</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Общее количество жизнеспособных микроорганизмов и концентрация эндотоксинов в воде для диализа должны соответствовать предельно допустимым уровням, указанным в таблице 3. Уровни действия для общего количества жизнеспособных микроорганизмов и концентрации эндотоксинов также должны быть установлены, основываясь на знании микробной динамики системы. Как правило, уровень действия устанавливается на уровне 50 % от максимально допустимого уровня для бактерий и эндотоксинов. Если в воде для диализа наблюдается общее количество жизнеспособных микроорганизмов или концентрация эндотоксинов на уровне действия или выше этого уровня, следует незамедлительно принять корректирующие меры для снижения этого уровня. Изготовитель или поставщик полной системы водоподготовки и распределения воды должен продемонстрировать, что полная система водоподготовки, хранения и распределения воды способна отвечать требованиям ISO 23500-3 на момент установки.</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После установки системы водоподготовки, хранения и распределения воды пользователь несет ответственность за регулярный надзор за микробиологией системы и за соблюдение требований настоящего стандарта, в том числе требований, связанных с уровнями действия. В разделе 8 настоящего стандарта подробно излагаются методы микробиолог</w:t>
      </w:r>
      <w:r>
        <w:rPr>
          <w:rStyle w:val="FontStyle50"/>
          <w:rFonts w:ascii="Times New Roman" w:cs="Times New Roman"/>
          <w:sz w:val="24"/>
          <w:szCs w:val="24"/>
          <w:lang w:eastAsia="en-US"/>
        </w:rPr>
        <w:t>ического контроля. В приложении</w:t>
      </w:r>
      <w:proofErr w:type="gramStart"/>
      <w:r>
        <w:rPr>
          <w:rStyle w:val="FontStyle50"/>
          <w:rFonts w:ascii="Times New Roman" w:cs="Times New Roman"/>
          <w:sz w:val="24"/>
          <w:szCs w:val="24"/>
          <w:lang w:val="kk-KZ" w:eastAsia="en-US"/>
        </w:rPr>
        <w:t xml:space="preserve"> </w:t>
      </w:r>
      <w:r w:rsidRPr="00315BDE">
        <w:rPr>
          <w:rStyle w:val="FontStyle50"/>
          <w:rFonts w:ascii="Times New Roman" w:cs="Times New Roman"/>
          <w:sz w:val="24"/>
          <w:szCs w:val="24"/>
          <w:lang w:eastAsia="en-US"/>
        </w:rPr>
        <w:t>С</w:t>
      </w:r>
      <w:proofErr w:type="gramEnd"/>
      <w:r w:rsidRPr="00315BDE">
        <w:rPr>
          <w:rStyle w:val="FontStyle50"/>
          <w:rFonts w:ascii="Times New Roman" w:cs="Times New Roman"/>
          <w:sz w:val="24"/>
          <w:szCs w:val="24"/>
          <w:lang w:eastAsia="en-US"/>
        </w:rPr>
        <w:t xml:space="preserve"> содержится дополнительная информация, касающаяся надзора.</w:t>
      </w:r>
    </w:p>
    <w:p w:rsidR="00315BDE" w:rsidRDefault="00315BDE" w:rsidP="00315BDE">
      <w:pPr>
        <w:pStyle w:val="Style26"/>
        <w:widowControl/>
        <w:spacing w:line="240" w:lineRule="auto"/>
        <w:ind w:firstLine="567"/>
        <w:rPr>
          <w:rStyle w:val="FontStyle50"/>
          <w:rFonts w:ascii="Times New Roman" w:cs="Times New Roman"/>
          <w:sz w:val="24"/>
          <w:szCs w:val="24"/>
          <w:lang w:val="kk-KZ" w:eastAsia="en-US"/>
        </w:rPr>
      </w:pPr>
      <w:r w:rsidRPr="00315BDE">
        <w:rPr>
          <w:rStyle w:val="FontStyle50"/>
          <w:rFonts w:ascii="Times New Roman" w:cs="Times New Roman"/>
          <w:sz w:val="24"/>
          <w:szCs w:val="24"/>
          <w:lang w:eastAsia="en-US"/>
        </w:rPr>
        <w:t xml:space="preserve">В связи с присутствием бактерий и эндотоксинов в воде могут также присутствовать дрожжи и нитевидные грибы. Никаких конкретных рекомендаций в отношении рутинного измерения таких загрязняющих веществ сделано не было, </w:t>
      </w:r>
      <w:proofErr w:type="gramStart"/>
      <w:r w:rsidRPr="00315BDE">
        <w:rPr>
          <w:rStyle w:val="FontStyle50"/>
          <w:rFonts w:ascii="Times New Roman" w:cs="Times New Roman"/>
          <w:sz w:val="24"/>
          <w:szCs w:val="24"/>
          <w:lang w:eastAsia="en-US"/>
        </w:rPr>
        <w:t>равно</w:t>
      </w:r>
      <w:proofErr w:type="gramEnd"/>
      <w:r w:rsidRPr="00315BDE">
        <w:rPr>
          <w:rStyle w:val="FontStyle50"/>
          <w:rFonts w:ascii="Times New Roman" w:cs="Times New Roman"/>
          <w:sz w:val="24"/>
          <w:szCs w:val="24"/>
          <w:lang w:eastAsia="en-US"/>
        </w:rPr>
        <w:t xml:space="preserve"> как и не были установлены пределы действия.</w:t>
      </w:r>
    </w:p>
    <w:p w:rsidR="00315BDE" w:rsidRDefault="00315BDE" w:rsidP="00315BDE">
      <w:pPr>
        <w:pStyle w:val="Style26"/>
        <w:widowControl/>
        <w:spacing w:line="240" w:lineRule="auto"/>
        <w:ind w:firstLine="567"/>
        <w:rPr>
          <w:rStyle w:val="FontStyle50"/>
          <w:rFonts w:ascii="Times New Roman" w:cs="Times New Roman"/>
          <w:sz w:val="24"/>
          <w:szCs w:val="24"/>
          <w:lang w:val="kk-KZ" w:eastAsia="en-US"/>
        </w:rPr>
      </w:pPr>
    </w:p>
    <w:p w:rsidR="00315BDE" w:rsidRPr="00315BDE" w:rsidRDefault="00315BDE" w:rsidP="00315BDE">
      <w:pPr>
        <w:pStyle w:val="Style26"/>
        <w:widowControl/>
        <w:spacing w:line="240" w:lineRule="auto"/>
        <w:ind w:firstLine="0"/>
        <w:jc w:val="center"/>
        <w:rPr>
          <w:rStyle w:val="FontStyle50"/>
          <w:rFonts w:ascii="Times New Roman" w:cs="Times New Roman"/>
          <w:b/>
          <w:sz w:val="24"/>
          <w:szCs w:val="24"/>
          <w:lang w:val="kk-KZ" w:eastAsia="en-US"/>
        </w:rPr>
      </w:pPr>
      <w:r w:rsidRPr="00315BDE">
        <w:rPr>
          <w:rStyle w:val="FontStyle50"/>
          <w:rFonts w:ascii="Times New Roman" w:cs="Times New Roman"/>
          <w:b/>
          <w:sz w:val="24"/>
          <w:szCs w:val="24"/>
          <w:lang w:val="kk-KZ" w:eastAsia="en-US"/>
        </w:rPr>
        <w:t xml:space="preserve">Таблица 3 – Максимально допустимые уровни общего количества жизнеспособных микроорганизмов (TVC) и эндотоксинов в воде для диализа </w:t>
      </w:r>
      <w:r w:rsidRPr="00315BDE">
        <w:rPr>
          <w:rStyle w:val="FontStyle50"/>
          <w:rFonts w:ascii="Times New Roman" w:cs="Times New Roman"/>
          <w:b/>
          <w:sz w:val="24"/>
          <w:szCs w:val="24"/>
          <w:vertAlign w:val="superscript"/>
          <w:lang w:val="kk-KZ" w:eastAsia="en-US"/>
        </w:rPr>
        <w:t>а</w:t>
      </w:r>
    </w:p>
    <w:tbl>
      <w:tblPr>
        <w:tblW w:w="9356" w:type="dxa"/>
        <w:tblInd w:w="40" w:type="dxa"/>
        <w:tblLayout w:type="fixed"/>
        <w:tblCellMar>
          <w:left w:w="40" w:type="dxa"/>
          <w:right w:w="40" w:type="dxa"/>
        </w:tblCellMar>
        <w:tblLook w:val="0000" w:firstRow="0" w:lastRow="0" w:firstColumn="0" w:lastColumn="0" w:noHBand="0" w:noVBand="0"/>
      </w:tblPr>
      <w:tblGrid>
        <w:gridCol w:w="2410"/>
        <w:gridCol w:w="3402"/>
        <w:gridCol w:w="3544"/>
      </w:tblGrid>
      <w:tr w:rsidR="00315BDE" w:rsidRPr="00315BDE" w:rsidTr="00315BDE">
        <w:tc>
          <w:tcPr>
            <w:tcW w:w="2410"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b/>
                <w:sz w:val="24"/>
                <w:szCs w:val="24"/>
                <w:lang w:eastAsia="en-US"/>
              </w:rPr>
            </w:pPr>
            <w:r w:rsidRPr="00315BDE">
              <w:rPr>
                <w:rFonts w:eastAsia="Arial"/>
                <w:b/>
                <w:sz w:val="24"/>
                <w:szCs w:val="24"/>
                <w:lang w:eastAsia="en-US"/>
              </w:rPr>
              <w:t>Загрязнитель</w:t>
            </w:r>
          </w:p>
        </w:tc>
        <w:tc>
          <w:tcPr>
            <w:tcW w:w="3402"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b/>
                <w:sz w:val="24"/>
                <w:szCs w:val="24"/>
                <w:lang w:eastAsia="en-US"/>
              </w:rPr>
            </w:pPr>
            <w:r w:rsidRPr="00315BDE">
              <w:rPr>
                <w:rFonts w:eastAsia="Arial"/>
                <w:b/>
                <w:sz w:val="24"/>
                <w:szCs w:val="24"/>
                <w:lang w:eastAsia="en-US"/>
              </w:rPr>
              <w:t>Максимально допустимый уровень</w:t>
            </w:r>
          </w:p>
        </w:tc>
        <w:tc>
          <w:tcPr>
            <w:tcW w:w="3544"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b/>
                <w:sz w:val="24"/>
                <w:szCs w:val="24"/>
                <w:lang w:val="en-US" w:eastAsia="en-US"/>
              </w:rPr>
            </w:pPr>
            <w:r w:rsidRPr="00315BDE">
              <w:rPr>
                <w:rFonts w:eastAsia="Arial"/>
                <w:b/>
                <w:sz w:val="24"/>
                <w:szCs w:val="24"/>
                <w:lang w:eastAsia="en-US"/>
              </w:rPr>
              <w:t>Типичный уровень действия</w:t>
            </w:r>
            <w:proofErr w:type="gramStart"/>
            <w:r>
              <w:rPr>
                <w:rFonts w:eastAsia="Arial"/>
                <w:b/>
                <w:sz w:val="24"/>
                <w:szCs w:val="24"/>
                <w:vertAlign w:val="superscript"/>
                <w:lang w:val="en-US" w:eastAsia="en-US"/>
              </w:rPr>
              <w:t>b</w:t>
            </w:r>
            <w:proofErr w:type="gramEnd"/>
          </w:p>
        </w:tc>
      </w:tr>
      <w:tr w:rsidR="00315BDE" w:rsidRPr="00315BDE" w:rsidTr="00315BDE">
        <w:tc>
          <w:tcPr>
            <w:tcW w:w="2410"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120"/>
              <w:ind w:firstLine="0"/>
              <w:jc w:val="left"/>
              <w:rPr>
                <w:rFonts w:eastAsia="Arial"/>
                <w:sz w:val="24"/>
                <w:szCs w:val="24"/>
                <w:lang w:eastAsia="en-US"/>
              </w:rPr>
            </w:pPr>
            <w:r w:rsidRPr="00315BDE">
              <w:rPr>
                <w:rFonts w:eastAsia="Arial"/>
                <w:sz w:val="24"/>
                <w:szCs w:val="24"/>
                <w:lang w:eastAsia="en-US"/>
              </w:rPr>
              <w:t>TVC</w:t>
            </w:r>
          </w:p>
        </w:tc>
        <w:tc>
          <w:tcPr>
            <w:tcW w:w="3402"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sz w:val="24"/>
                <w:szCs w:val="24"/>
                <w:lang w:eastAsia="en-US"/>
              </w:rPr>
            </w:pPr>
            <w:r w:rsidRPr="00315BDE">
              <w:rPr>
                <w:rFonts w:eastAsia="Arial"/>
                <w:sz w:val="24"/>
                <w:szCs w:val="24"/>
                <w:lang w:eastAsia="en-US"/>
              </w:rPr>
              <w:t>&lt;100 КОЕ/мл</w:t>
            </w:r>
          </w:p>
        </w:tc>
        <w:tc>
          <w:tcPr>
            <w:tcW w:w="3544"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sz w:val="24"/>
                <w:szCs w:val="24"/>
                <w:lang w:eastAsia="en-US"/>
              </w:rPr>
            </w:pPr>
            <w:r w:rsidRPr="00315BDE">
              <w:rPr>
                <w:rFonts w:eastAsia="Arial"/>
                <w:sz w:val="24"/>
                <w:szCs w:val="24"/>
                <w:lang w:eastAsia="en-US"/>
              </w:rPr>
              <w:t>50 КОЕ/мл</w:t>
            </w:r>
          </w:p>
        </w:tc>
      </w:tr>
      <w:tr w:rsidR="00315BDE" w:rsidRPr="00315BDE" w:rsidTr="00315BDE">
        <w:tc>
          <w:tcPr>
            <w:tcW w:w="241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120"/>
              <w:ind w:firstLine="0"/>
              <w:jc w:val="left"/>
              <w:rPr>
                <w:rFonts w:eastAsia="Arial"/>
                <w:sz w:val="24"/>
                <w:szCs w:val="24"/>
                <w:lang w:eastAsia="en-US"/>
              </w:rPr>
            </w:pPr>
            <w:r w:rsidRPr="00315BDE">
              <w:rPr>
                <w:rFonts w:eastAsia="Arial"/>
                <w:sz w:val="24"/>
                <w:szCs w:val="24"/>
                <w:lang w:eastAsia="en-US"/>
              </w:rPr>
              <w:t>Эндотоксин</w:t>
            </w:r>
          </w:p>
        </w:tc>
        <w:tc>
          <w:tcPr>
            <w:tcW w:w="3402"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sz w:val="24"/>
                <w:szCs w:val="24"/>
                <w:lang w:eastAsia="en-US"/>
              </w:rPr>
            </w:pPr>
            <w:r w:rsidRPr="00315BDE">
              <w:rPr>
                <w:rFonts w:eastAsia="Arial"/>
                <w:sz w:val="24"/>
                <w:szCs w:val="24"/>
                <w:lang w:eastAsia="en-US"/>
              </w:rPr>
              <w:t>&lt;0,25 ЕЭ/мл</w:t>
            </w:r>
          </w:p>
        </w:tc>
        <w:tc>
          <w:tcPr>
            <w:tcW w:w="3544"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120"/>
              <w:ind w:firstLine="0"/>
              <w:jc w:val="center"/>
              <w:rPr>
                <w:rFonts w:eastAsia="Arial"/>
                <w:sz w:val="24"/>
                <w:szCs w:val="24"/>
                <w:lang w:eastAsia="en-US"/>
              </w:rPr>
            </w:pPr>
            <w:r w:rsidRPr="00315BDE">
              <w:rPr>
                <w:rFonts w:eastAsia="Arial"/>
                <w:sz w:val="24"/>
                <w:szCs w:val="24"/>
                <w:lang w:eastAsia="en-US"/>
              </w:rPr>
              <w:t>0,125 ЕЭ/мл</w:t>
            </w:r>
          </w:p>
        </w:tc>
      </w:tr>
      <w:tr w:rsidR="00315BDE" w:rsidRPr="00315BDE" w:rsidTr="00315BDE">
        <w:tc>
          <w:tcPr>
            <w:tcW w:w="9356" w:type="dxa"/>
            <w:gridSpan w:val="3"/>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ind w:firstLine="527"/>
              <w:rPr>
                <w:rFonts w:eastAsia="Arial"/>
                <w:lang w:eastAsia="en-US"/>
              </w:rPr>
            </w:pPr>
            <w:r w:rsidRPr="00315BDE">
              <w:rPr>
                <w:rFonts w:eastAsia="Arial"/>
                <w:vertAlign w:val="superscript"/>
                <w:lang w:eastAsia="en-US"/>
              </w:rPr>
              <w:t>а</w:t>
            </w:r>
            <w:r w:rsidRPr="00315BDE">
              <w:rPr>
                <w:rFonts w:eastAsia="Arial"/>
                <w:lang w:eastAsia="en-US"/>
              </w:rPr>
              <w:t xml:space="preserve"> Читателю рекомендуется обратиться к последней версии ISO 23500-3, чтобы убедиться в отсутствии изменений значений, представленных в этой таблице.</w:t>
            </w:r>
          </w:p>
          <w:p w:rsidR="00315BDE" w:rsidRPr="00315BDE" w:rsidRDefault="00315BDE" w:rsidP="00315BDE">
            <w:pPr>
              <w:widowControl/>
              <w:autoSpaceDE/>
              <w:autoSpaceDN/>
              <w:adjustRightInd/>
              <w:ind w:firstLine="527"/>
              <w:rPr>
                <w:rFonts w:eastAsia="Arial"/>
                <w:sz w:val="24"/>
                <w:szCs w:val="24"/>
                <w:lang w:eastAsia="en-US"/>
              </w:rPr>
            </w:pPr>
            <w:proofErr w:type="gramStart"/>
            <w:r>
              <w:rPr>
                <w:rFonts w:eastAsia="Arial"/>
                <w:vertAlign w:val="superscript"/>
                <w:lang w:val="en-US" w:eastAsia="en-US"/>
              </w:rPr>
              <w:t>b</w:t>
            </w:r>
            <w:proofErr w:type="gramEnd"/>
            <w:r w:rsidRPr="00315BDE">
              <w:rPr>
                <w:rFonts w:eastAsia="Arial"/>
                <w:lang w:eastAsia="en-US"/>
              </w:rPr>
              <w:t xml:space="preserve"> Обычно устанавливается на уровне 50 % от максимально допустимого уровня. Могут быть установлены и другие значения.</w:t>
            </w:r>
          </w:p>
        </w:tc>
      </w:tr>
    </w:tbl>
    <w:p w:rsidR="00315BDE" w:rsidRPr="00315BDE" w:rsidRDefault="00315BDE" w:rsidP="00315BDE">
      <w:pPr>
        <w:pStyle w:val="Style26"/>
        <w:widowControl/>
        <w:spacing w:line="240" w:lineRule="auto"/>
        <w:ind w:firstLine="0"/>
        <w:rPr>
          <w:rStyle w:val="FontStyle50"/>
          <w:rFonts w:ascii="Times New Roman" w:cs="Times New Roman"/>
          <w:sz w:val="24"/>
          <w:szCs w:val="24"/>
          <w:lang w:eastAsia="en-US"/>
        </w:rPr>
      </w:pPr>
    </w:p>
    <w:p w:rsidR="00315BDE" w:rsidRPr="00315BDE" w:rsidRDefault="00315BDE" w:rsidP="00315BDE">
      <w:pPr>
        <w:pStyle w:val="Style26"/>
        <w:widowControl/>
        <w:spacing w:line="240" w:lineRule="auto"/>
        <w:ind w:firstLine="567"/>
        <w:rPr>
          <w:rStyle w:val="FontStyle50"/>
          <w:rFonts w:ascii="Times New Roman" w:cs="Times New Roman"/>
          <w:b/>
          <w:sz w:val="24"/>
          <w:szCs w:val="24"/>
          <w:lang w:val="en-US" w:eastAsia="en-US"/>
        </w:rPr>
      </w:pPr>
      <w:r w:rsidRPr="00315BDE">
        <w:rPr>
          <w:rStyle w:val="FontStyle50"/>
          <w:rFonts w:ascii="Times New Roman" w:cs="Times New Roman"/>
          <w:b/>
          <w:sz w:val="24"/>
          <w:szCs w:val="24"/>
          <w:lang w:eastAsia="en-US"/>
        </w:rPr>
        <w:lastRenderedPageBreak/>
        <w:t>4.3 Требования к концентратам</w:t>
      </w:r>
    </w:p>
    <w:p w:rsidR="00315BDE" w:rsidRPr="00315BDE" w:rsidRDefault="00315BDE" w:rsidP="00315BDE">
      <w:pPr>
        <w:pStyle w:val="Style26"/>
        <w:widowControl/>
        <w:spacing w:line="240" w:lineRule="auto"/>
        <w:ind w:firstLine="567"/>
        <w:rPr>
          <w:rStyle w:val="FontStyle50"/>
          <w:rFonts w:ascii="Times New Roman" w:cs="Times New Roman"/>
          <w:b/>
          <w:sz w:val="24"/>
          <w:szCs w:val="24"/>
          <w:lang w:val="en-US" w:eastAsia="en-US"/>
        </w:rPr>
      </w:pPr>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 xml:space="preserve">4.3.1 Химические и микробиологические загрязнения в концентрате </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Концентраты, используемые для приготовления диализирующего раствора, должны соответствовать требованиям качества, указанным в ISO 23500-4.</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Бикарбонатный концентрат может выращивать бактерии, и следует соблюдать осторожность, чтобы ограничить уровень бактерий в бикарбонатном концентрате. Диализирующий раствор также может быть приготовлен из ацетатного концентрата, используемого в качестве единственного концентрата, который может быть метаболизирован пациентом до бикарбоната.</w:t>
      </w:r>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4.3.2 Вода, используемая для приготовления концентрата</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 xml:space="preserve">Вода, используемая для приготовления концентратов в отделении диализа, должна соответствовать требованиям ISO 23500-3. Любой концентрат, приготовленный в отделении диализа, должен позволять машине для диализа готовить диализирующий раствор, </w:t>
      </w:r>
      <w:proofErr w:type="gramStart"/>
      <w:r w:rsidRPr="00315BDE">
        <w:rPr>
          <w:rStyle w:val="FontStyle50"/>
          <w:rFonts w:ascii="Times New Roman" w:cs="Times New Roman"/>
          <w:sz w:val="24"/>
          <w:szCs w:val="24"/>
          <w:lang w:eastAsia="en-US"/>
        </w:rPr>
        <w:t>соответствующую</w:t>
      </w:r>
      <w:proofErr w:type="gramEnd"/>
      <w:r w:rsidRPr="00315BDE">
        <w:rPr>
          <w:rStyle w:val="FontStyle50"/>
          <w:rFonts w:ascii="Times New Roman" w:cs="Times New Roman"/>
          <w:sz w:val="24"/>
          <w:szCs w:val="24"/>
          <w:lang w:eastAsia="en-US"/>
        </w:rPr>
        <w:t xml:space="preserve"> требованиям ISO 23500-5.</w:t>
      </w:r>
    </w:p>
    <w:p w:rsidR="00315BDE" w:rsidRPr="00FF3390" w:rsidRDefault="00315BDE" w:rsidP="00315BDE">
      <w:pPr>
        <w:pStyle w:val="Style26"/>
        <w:widowControl/>
        <w:spacing w:line="240" w:lineRule="auto"/>
        <w:ind w:firstLine="567"/>
        <w:rPr>
          <w:rStyle w:val="FontStyle50"/>
          <w:rFonts w:ascii="Times New Roman" w:cs="Times New Roman"/>
          <w:sz w:val="24"/>
          <w:szCs w:val="24"/>
          <w:lang w:eastAsia="en-US"/>
        </w:rPr>
      </w:pPr>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4.4 Требования к диализирующему раствору</w:t>
      </w:r>
    </w:p>
    <w:p w:rsidR="00315BDE" w:rsidRPr="00FF3390" w:rsidRDefault="00315BDE" w:rsidP="00315BDE">
      <w:pPr>
        <w:pStyle w:val="Style26"/>
        <w:widowControl/>
        <w:spacing w:line="240" w:lineRule="auto"/>
        <w:ind w:firstLine="567"/>
        <w:rPr>
          <w:rStyle w:val="FontStyle50"/>
          <w:rFonts w:ascii="Times New Roman" w:cs="Times New Roman"/>
          <w:b/>
          <w:sz w:val="24"/>
          <w:szCs w:val="24"/>
          <w:lang w:eastAsia="en-US"/>
        </w:rPr>
      </w:pPr>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4.4.1 Общие положения</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Требования, содержащиеся в настоящем пункте, применяются к образцу диализирующего раствора, взятому как можно ближе к входу в диализатор.</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ISO 23500-5 определяет три уровня диализирующего раствора: стандартный диализирующий раствор, ультрачистый диализирующий раствор и приготовленный в режиме реального времени замещающий раствор, используемый для гемодиафильтрации.</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Стандартный диализирующий раствор должен рассматриваться как раствор минимально приемлемого качества. Ультрачистый диализирующий раствор - это шаг вперед в улучшении биосовместимости, уменьшении воспаления и предотвращении осложнений, связанных с диализом.</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Испытания на бактериальный рост и эндотоксины не требуются, если жидкостный тракт аппарата для диализа оснащен соответствующим фильтром для удержания бактерий и эндотоксинов, валидированным изготовителем и эксплуатируемым и контролируемым в соответствии с инструкциями изготовителя, если только изготовитель не требует таких испытаний в инструкции по применению.</w:t>
      </w:r>
    </w:p>
    <w:p w:rsidR="00315BDE" w:rsidRPr="00315BDE" w:rsidRDefault="00315BDE" w:rsidP="00315BDE">
      <w:pPr>
        <w:pStyle w:val="Style26"/>
        <w:widowControl/>
        <w:spacing w:line="240" w:lineRule="auto"/>
        <w:ind w:firstLine="567"/>
        <w:rPr>
          <w:rStyle w:val="FontStyle50"/>
          <w:rFonts w:ascii="Times New Roman" w:cs="Times New Roman"/>
          <w:b/>
          <w:sz w:val="24"/>
          <w:szCs w:val="24"/>
          <w:lang w:eastAsia="en-US"/>
        </w:rPr>
      </w:pPr>
      <w:r w:rsidRPr="00315BDE">
        <w:rPr>
          <w:rStyle w:val="FontStyle50"/>
          <w:rFonts w:ascii="Times New Roman" w:cs="Times New Roman"/>
          <w:b/>
          <w:sz w:val="24"/>
          <w:szCs w:val="24"/>
          <w:lang w:eastAsia="en-US"/>
        </w:rPr>
        <w:t>4.4.2 Микробиологические требования к стандартному диализирующему раствору</w:t>
      </w:r>
    </w:p>
    <w:p w:rsidR="00315BDE" w:rsidRPr="00315BDE" w:rsidRDefault="00315BDE" w:rsidP="00315BDE">
      <w:pPr>
        <w:pStyle w:val="Style26"/>
        <w:widowControl/>
        <w:spacing w:line="240" w:lineRule="auto"/>
        <w:ind w:firstLine="567"/>
        <w:rPr>
          <w:rStyle w:val="FontStyle50"/>
          <w:rFonts w:ascii="Times New Roman" w:cs="Times New Roman"/>
          <w:sz w:val="24"/>
          <w:szCs w:val="24"/>
          <w:lang w:eastAsia="en-US"/>
        </w:rPr>
      </w:pPr>
      <w:r w:rsidRPr="00315BDE">
        <w:rPr>
          <w:rStyle w:val="FontStyle50"/>
          <w:rFonts w:ascii="Times New Roman" w:cs="Times New Roman"/>
          <w:sz w:val="24"/>
          <w:szCs w:val="24"/>
          <w:lang w:eastAsia="en-US"/>
        </w:rPr>
        <w:t>Общее количество жизнеспособных микроорганизмов и концентрация эндотоксинов в стандартном диализирующем растворе должны соответствовать максимально допустимым уровням, указанным в ISO 23500-5 и воспроизведенным в таблице 4. Уровни действия для общего количества жизнеспособных микроорганизмов и концентрации эндотоксинов также должны устанавливаться на основе знаний о микробной динамике системы, как указано в ISO 23500-5. Как правило, уровень действия устанавливается на уровне 50 % от максимально допустимого уровня для общего количества жизнеспособных микроорганизмов и эндотоксинов. Если в диализирующем растворе наблюдается общее количество жизнеспособных микроорганизмов или концентрация эндотоксинов на уровне действия или выше, то для снижения уровня следует незамедлительно принять корректирующие меры, такие как дезинфекция и повторное испытание.</w:t>
      </w:r>
    </w:p>
    <w:p w:rsidR="00315BDE" w:rsidRPr="00FF3390" w:rsidRDefault="00315BDE" w:rsidP="00665703">
      <w:pPr>
        <w:pStyle w:val="Style26"/>
        <w:widowControl/>
        <w:spacing w:line="240" w:lineRule="auto"/>
        <w:ind w:firstLine="567"/>
        <w:rPr>
          <w:rStyle w:val="FontStyle50"/>
          <w:rFonts w:ascii="Times New Roman" w:cs="Times New Roman"/>
          <w:sz w:val="24"/>
          <w:szCs w:val="24"/>
          <w:lang w:eastAsia="en-US"/>
        </w:rPr>
      </w:pPr>
    </w:p>
    <w:p w:rsidR="00315BDE" w:rsidRPr="00FF3390" w:rsidRDefault="00315BDE" w:rsidP="00665703">
      <w:pPr>
        <w:pStyle w:val="Style26"/>
        <w:widowControl/>
        <w:spacing w:line="240" w:lineRule="auto"/>
        <w:ind w:firstLine="567"/>
        <w:rPr>
          <w:rStyle w:val="FontStyle50"/>
          <w:rFonts w:ascii="Times New Roman" w:cs="Times New Roman"/>
          <w:sz w:val="24"/>
          <w:szCs w:val="24"/>
          <w:lang w:eastAsia="en-US"/>
        </w:rPr>
      </w:pPr>
    </w:p>
    <w:p w:rsidR="00315BDE" w:rsidRPr="00FF3390" w:rsidRDefault="00315BDE" w:rsidP="00665703">
      <w:pPr>
        <w:pStyle w:val="Style26"/>
        <w:widowControl/>
        <w:spacing w:line="240" w:lineRule="auto"/>
        <w:ind w:firstLine="567"/>
        <w:rPr>
          <w:rStyle w:val="FontStyle50"/>
          <w:rFonts w:ascii="Times New Roman" w:cs="Times New Roman"/>
          <w:sz w:val="24"/>
          <w:szCs w:val="24"/>
          <w:lang w:eastAsia="en-US"/>
        </w:rPr>
      </w:pPr>
    </w:p>
    <w:p w:rsidR="00315BDE" w:rsidRPr="00FF3390" w:rsidRDefault="00315BDE" w:rsidP="00665703">
      <w:pPr>
        <w:pStyle w:val="Style26"/>
        <w:widowControl/>
        <w:spacing w:line="240" w:lineRule="auto"/>
        <w:ind w:firstLine="567"/>
        <w:rPr>
          <w:rStyle w:val="FontStyle50"/>
          <w:rFonts w:ascii="Times New Roman" w:cs="Times New Roman"/>
          <w:sz w:val="24"/>
          <w:szCs w:val="24"/>
          <w:lang w:eastAsia="en-US"/>
        </w:rPr>
      </w:pPr>
    </w:p>
    <w:p w:rsidR="00315BDE" w:rsidRPr="00FF3390" w:rsidRDefault="00315BDE" w:rsidP="00315BDE">
      <w:pPr>
        <w:pStyle w:val="Style26"/>
        <w:widowControl/>
        <w:spacing w:line="240" w:lineRule="auto"/>
        <w:ind w:firstLine="0"/>
        <w:jc w:val="center"/>
        <w:rPr>
          <w:rStyle w:val="FontStyle50"/>
          <w:rFonts w:ascii="Times New Roman" w:cs="Times New Roman"/>
          <w:b/>
          <w:sz w:val="24"/>
          <w:szCs w:val="24"/>
          <w:vertAlign w:val="superscript"/>
          <w:lang w:eastAsia="en-US"/>
        </w:rPr>
      </w:pPr>
      <w:r w:rsidRPr="00315BDE">
        <w:rPr>
          <w:rStyle w:val="FontStyle50"/>
          <w:rFonts w:ascii="Times New Roman" w:cs="Times New Roman"/>
          <w:b/>
          <w:sz w:val="24"/>
          <w:szCs w:val="24"/>
          <w:lang w:eastAsia="en-US"/>
        </w:rPr>
        <w:lastRenderedPageBreak/>
        <w:t>Таблица 4 – Максимально допустимые уровни общего количества жизнеспособных микроорганизмов (</w:t>
      </w:r>
      <w:r w:rsidRPr="00315BDE">
        <w:rPr>
          <w:rStyle w:val="FontStyle50"/>
          <w:rFonts w:ascii="Times New Roman" w:cs="Times New Roman"/>
          <w:b/>
          <w:sz w:val="24"/>
          <w:szCs w:val="24"/>
          <w:lang w:val="en-US" w:eastAsia="en-US"/>
        </w:rPr>
        <w:t>TVC</w:t>
      </w:r>
      <w:r w:rsidRPr="00315BDE">
        <w:rPr>
          <w:rStyle w:val="FontStyle50"/>
          <w:rFonts w:ascii="Times New Roman" w:cs="Times New Roman"/>
          <w:b/>
          <w:sz w:val="24"/>
          <w:szCs w:val="24"/>
          <w:lang w:eastAsia="en-US"/>
        </w:rPr>
        <w:t xml:space="preserve">) и эндотоксинов в стандартном и ультрачистом диализирующем растворе </w:t>
      </w:r>
      <w:r w:rsidRPr="00315BDE">
        <w:rPr>
          <w:rStyle w:val="FontStyle50"/>
          <w:rFonts w:ascii="Times New Roman" w:cs="Times New Roman"/>
          <w:b/>
          <w:sz w:val="24"/>
          <w:szCs w:val="24"/>
          <w:vertAlign w:val="superscript"/>
          <w:lang w:val="en-US" w:eastAsia="en-US"/>
        </w:rPr>
        <w:t>a</w:t>
      </w:r>
    </w:p>
    <w:tbl>
      <w:tblPr>
        <w:tblW w:w="9498" w:type="dxa"/>
        <w:tblInd w:w="40" w:type="dxa"/>
        <w:tblLayout w:type="fixed"/>
        <w:tblCellMar>
          <w:left w:w="40" w:type="dxa"/>
          <w:right w:w="40" w:type="dxa"/>
        </w:tblCellMar>
        <w:tblLook w:val="0000" w:firstRow="0" w:lastRow="0" w:firstColumn="0" w:lastColumn="0" w:noHBand="0" w:noVBand="0"/>
      </w:tblPr>
      <w:tblGrid>
        <w:gridCol w:w="1820"/>
        <w:gridCol w:w="2380"/>
        <w:gridCol w:w="2380"/>
        <w:gridCol w:w="2918"/>
      </w:tblGrid>
      <w:tr w:rsidR="00315BDE" w:rsidRPr="00315BDE" w:rsidTr="00315BDE">
        <w:tc>
          <w:tcPr>
            <w:tcW w:w="1820" w:type="dxa"/>
            <w:vMerge w:val="restart"/>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r w:rsidRPr="00315BDE">
              <w:rPr>
                <w:rFonts w:eastAsia="Calibri"/>
                <w:b/>
                <w:sz w:val="24"/>
                <w:szCs w:val="24"/>
                <w:lang w:eastAsia="en-US"/>
              </w:rPr>
              <w:t>Загрязнитель</w:t>
            </w:r>
          </w:p>
        </w:tc>
        <w:tc>
          <w:tcPr>
            <w:tcW w:w="4760" w:type="dxa"/>
            <w:gridSpan w:val="2"/>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r w:rsidRPr="00315BDE">
              <w:rPr>
                <w:rFonts w:eastAsia="Calibri"/>
                <w:b/>
                <w:sz w:val="24"/>
                <w:szCs w:val="24"/>
                <w:lang w:eastAsia="en-US"/>
              </w:rPr>
              <w:t>Стандартный диализирующий раствор</w:t>
            </w:r>
          </w:p>
        </w:tc>
        <w:tc>
          <w:tcPr>
            <w:tcW w:w="2918"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r w:rsidRPr="00315BDE">
              <w:rPr>
                <w:rFonts w:eastAsia="Calibri"/>
                <w:b/>
                <w:sz w:val="24"/>
                <w:szCs w:val="24"/>
                <w:lang w:eastAsia="en-US"/>
              </w:rPr>
              <w:t>Ультрачистый диализирующий раствор</w:t>
            </w:r>
          </w:p>
        </w:tc>
      </w:tr>
      <w:tr w:rsidR="00315BDE" w:rsidRPr="00315BDE" w:rsidTr="00315BDE">
        <w:tc>
          <w:tcPr>
            <w:tcW w:w="1820" w:type="dxa"/>
            <w:vMerge/>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p>
        </w:tc>
        <w:tc>
          <w:tcPr>
            <w:tcW w:w="2380"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r w:rsidRPr="00315BDE">
              <w:rPr>
                <w:rFonts w:eastAsia="Calibri"/>
                <w:b/>
                <w:sz w:val="24"/>
                <w:szCs w:val="24"/>
                <w:lang w:eastAsia="en-US"/>
              </w:rPr>
              <w:t>Максимально допустимый уровень</w:t>
            </w:r>
          </w:p>
        </w:tc>
        <w:tc>
          <w:tcPr>
            <w:tcW w:w="2380"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r w:rsidRPr="00315BDE">
              <w:rPr>
                <w:rFonts w:eastAsia="Calibri"/>
                <w:b/>
                <w:sz w:val="24"/>
                <w:szCs w:val="24"/>
                <w:lang w:eastAsia="en-US"/>
              </w:rPr>
              <w:t>Уровень действия13</w:t>
            </w:r>
          </w:p>
        </w:tc>
        <w:tc>
          <w:tcPr>
            <w:tcW w:w="2918" w:type="dxa"/>
            <w:tcBorders>
              <w:top w:val="single" w:sz="6" w:space="0" w:color="auto"/>
              <w:left w:val="single" w:sz="6" w:space="0" w:color="auto"/>
              <w:bottom w:val="double" w:sz="4"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b/>
                <w:sz w:val="24"/>
                <w:szCs w:val="24"/>
                <w:lang w:eastAsia="en-US"/>
              </w:rPr>
            </w:pPr>
            <w:r w:rsidRPr="00315BDE">
              <w:rPr>
                <w:rFonts w:eastAsia="Calibri"/>
                <w:b/>
                <w:sz w:val="24"/>
                <w:szCs w:val="24"/>
                <w:lang w:eastAsia="en-US"/>
              </w:rPr>
              <w:t>Максимально допустимый уровень</w:t>
            </w:r>
          </w:p>
        </w:tc>
      </w:tr>
      <w:tr w:rsidR="00315BDE" w:rsidRPr="00315BDE" w:rsidTr="00315BDE">
        <w:tc>
          <w:tcPr>
            <w:tcW w:w="1820"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rPr>
                <w:rFonts w:eastAsia="Arial"/>
                <w:sz w:val="24"/>
                <w:szCs w:val="24"/>
                <w:lang w:eastAsia="en-US"/>
              </w:rPr>
            </w:pPr>
            <w:r w:rsidRPr="00315BDE">
              <w:rPr>
                <w:rFonts w:eastAsia="Calibri"/>
                <w:sz w:val="24"/>
                <w:szCs w:val="24"/>
                <w:lang w:eastAsia="en-US"/>
              </w:rPr>
              <w:t>TVC</w:t>
            </w:r>
          </w:p>
        </w:tc>
        <w:tc>
          <w:tcPr>
            <w:tcW w:w="2380"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sz w:val="24"/>
                <w:szCs w:val="24"/>
                <w:lang w:eastAsia="en-US"/>
              </w:rPr>
            </w:pPr>
            <w:r w:rsidRPr="00315BDE">
              <w:rPr>
                <w:rFonts w:eastAsia="Calibri"/>
                <w:sz w:val="24"/>
                <w:szCs w:val="24"/>
                <w:lang w:eastAsia="en-US"/>
              </w:rPr>
              <w:t>&lt;100 КОЕ/мл</w:t>
            </w:r>
          </w:p>
        </w:tc>
        <w:tc>
          <w:tcPr>
            <w:tcW w:w="2380"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sz w:val="24"/>
                <w:szCs w:val="24"/>
                <w:lang w:eastAsia="en-US"/>
              </w:rPr>
            </w:pPr>
            <w:r w:rsidRPr="00315BDE">
              <w:rPr>
                <w:rFonts w:eastAsia="Calibri"/>
                <w:sz w:val="24"/>
                <w:szCs w:val="24"/>
                <w:lang w:eastAsia="en-US"/>
              </w:rPr>
              <w:t>50 КОЕ/мл</w:t>
            </w:r>
          </w:p>
        </w:tc>
        <w:tc>
          <w:tcPr>
            <w:tcW w:w="2918" w:type="dxa"/>
            <w:tcBorders>
              <w:top w:val="double" w:sz="4"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sz w:val="24"/>
                <w:szCs w:val="24"/>
                <w:lang w:eastAsia="en-US"/>
              </w:rPr>
            </w:pPr>
            <w:r w:rsidRPr="00315BDE">
              <w:rPr>
                <w:rFonts w:eastAsia="Calibri"/>
                <w:sz w:val="24"/>
                <w:szCs w:val="24"/>
                <w:lang w:eastAsia="en-US"/>
              </w:rPr>
              <w:t>&lt;0,1 КОЕ/мл</w:t>
            </w:r>
          </w:p>
        </w:tc>
      </w:tr>
      <w:tr w:rsidR="00315BDE" w:rsidRPr="00315BDE" w:rsidTr="00315BDE">
        <w:tc>
          <w:tcPr>
            <w:tcW w:w="182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rPr>
                <w:rFonts w:eastAsia="Arial"/>
                <w:sz w:val="24"/>
                <w:szCs w:val="24"/>
                <w:lang w:eastAsia="en-US"/>
              </w:rPr>
            </w:pPr>
            <w:r w:rsidRPr="00315BDE">
              <w:rPr>
                <w:rFonts w:eastAsia="Calibri"/>
                <w:sz w:val="24"/>
                <w:szCs w:val="24"/>
                <w:lang w:eastAsia="en-US"/>
              </w:rPr>
              <w:t>Эндотоксин</w:t>
            </w:r>
          </w:p>
        </w:tc>
        <w:tc>
          <w:tcPr>
            <w:tcW w:w="238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sz w:val="24"/>
                <w:szCs w:val="24"/>
                <w:lang w:eastAsia="en-US"/>
              </w:rPr>
            </w:pPr>
            <w:r w:rsidRPr="00315BDE">
              <w:rPr>
                <w:rFonts w:eastAsia="Calibri"/>
                <w:sz w:val="24"/>
                <w:szCs w:val="24"/>
                <w:lang w:eastAsia="en-US"/>
              </w:rPr>
              <w:t>&lt;0,5 ЕЭ/мл</w:t>
            </w:r>
          </w:p>
        </w:tc>
        <w:tc>
          <w:tcPr>
            <w:tcW w:w="2380"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sz w:val="24"/>
                <w:szCs w:val="24"/>
                <w:lang w:eastAsia="en-US"/>
              </w:rPr>
            </w:pPr>
            <w:r w:rsidRPr="00315BDE">
              <w:rPr>
                <w:rFonts w:eastAsia="Calibri"/>
                <w:sz w:val="24"/>
                <w:szCs w:val="24"/>
                <w:lang w:eastAsia="en-US"/>
              </w:rPr>
              <w:t>0,25 ЕЭ/мл</w:t>
            </w:r>
          </w:p>
        </w:tc>
        <w:tc>
          <w:tcPr>
            <w:tcW w:w="2918" w:type="dxa"/>
            <w:tcBorders>
              <w:top w:val="single" w:sz="6" w:space="0" w:color="auto"/>
              <w:left w:val="single" w:sz="6" w:space="0" w:color="auto"/>
              <w:bottom w:val="single" w:sz="6" w:space="0" w:color="auto"/>
              <w:right w:val="single" w:sz="6" w:space="0" w:color="auto"/>
            </w:tcBorders>
          </w:tcPr>
          <w:p w:rsidR="00315BDE" w:rsidRPr="00315BDE" w:rsidRDefault="00315BDE" w:rsidP="00315BDE">
            <w:pPr>
              <w:widowControl/>
              <w:autoSpaceDE/>
              <w:autoSpaceDN/>
              <w:adjustRightInd/>
              <w:spacing w:after="20"/>
              <w:ind w:firstLine="0"/>
              <w:jc w:val="center"/>
              <w:rPr>
                <w:rFonts w:eastAsia="Arial"/>
                <w:sz w:val="24"/>
                <w:szCs w:val="24"/>
                <w:lang w:eastAsia="en-US"/>
              </w:rPr>
            </w:pPr>
            <w:r w:rsidRPr="00315BDE">
              <w:rPr>
                <w:rFonts w:eastAsia="Calibri"/>
                <w:sz w:val="24"/>
                <w:szCs w:val="24"/>
                <w:lang w:eastAsia="en-US"/>
              </w:rPr>
              <w:t>&lt;0,03 ЕЭ/мл</w:t>
            </w:r>
          </w:p>
        </w:tc>
      </w:tr>
      <w:tr w:rsidR="00315BDE" w:rsidRPr="00315BDE" w:rsidTr="00315BDE">
        <w:tc>
          <w:tcPr>
            <w:tcW w:w="9498" w:type="dxa"/>
            <w:gridSpan w:val="4"/>
            <w:tcBorders>
              <w:top w:val="single" w:sz="6" w:space="0" w:color="auto"/>
              <w:left w:val="single" w:sz="6" w:space="0" w:color="auto"/>
              <w:bottom w:val="single" w:sz="6" w:space="0" w:color="auto"/>
              <w:right w:val="single" w:sz="6" w:space="0" w:color="auto"/>
            </w:tcBorders>
          </w:tcPr>
          <w:p w:rsidR="00315BDE" w:rsidRPr="0043778F" w:rsidRDefault="00315BDE" w:rsidP="0043778F">
            <w:pPr>
              <w:widowControl/>
              <w:autoSpaceDE/>
              <w:autoSpaceDN/>
              <w:adjustRightInd/>
              <w:spacing w:after="20"/>
              <w:ind w:firstLine="527"/>
              <w:rPr>
                <w:rFonts w:eastAsia="Arial"/>
                <w:lang w:eastAsia="en-US"/>
              </w:rPr>
            </w:pPr>
            <w:r w:rsidRPr="0043778F">
              <w:rPr>
                <w:rFonts w:eastAsia="Calibri"/>
                <w:vertAlign w:val="superscript"/>
                <w:lang w:eastAsia="en-US"/>
              </w:rPr>
              <w:t xml:space="preserve">а </w:t>
            </w:r>
            <w:r w:rsidRPr="0043778F">
              <w:rPr>
                <w:rFonts w:eastAsia="Calibri"/>
                <w:lang w:eastAsia="en-US"/>
              </w:rPr>
              <w:t xml:space="preserve">Читателю рекомендуется обратиться к последней версии </w:t>
            </w:r>
            <w:r w:rsidR="0043778F">
              <w:rPr>
                <w:rFonts w:eastAsia="Calibri"/>
                <w:lang w:val="en-US" w:eastAsia="en-US"/>
              </w:rPr>
              <w:t>ISO</w:t>
            </w:r>
            <w:r w:rsidRPr="0043778F">
              <w:rPr>
                <w:rFonts w:eastAsia="Calibri"/>
                <w:lang w:eastAsia="en-US"/>
              </w:rPr>
              <w:t xml:space="preserve"> 23500-5, чтобы убедиться в отсутствии изменений в этой таблице.</w:t>
            </w:r>
          </w:p>
          <w:p w:rsidR="00315BDE" w:rsidRPr="00315BDE" w:rsidRDefault="00315BDE" w:rsidP="0043778F">
            <w:pPr>
              <w:widowControl/>
              <w:autoSpaceDE/>
              <w:autoSpaceDN/>
              <w:adjustRightInd/>
              <w:spacing w:after="20"/>
              <w:ind w:firstLine="527"/>
              <w:rPr>
                <w:rFonts w:eastAsia="Arial"/>
                <w:sz w:val="24"/>
                <w:szCs w:val="24"/>
                <w:lang w:eastAsia="en-US"/>
              </w:rPr>
            </w:pPr>
            <w:r w:rsidRPr="0043778F">
              <w:rPr>
                <w:rFonts w:eastAsia="Calibri"/>
                <w:vertAlign w:val="superscript"/>
                <w:lang w:eastAsia="en-US"/>
              </w:rPr>
              <w:t>b</w:t>
            </w:r>
            <w:r w:rsidRPr="0043778F">
              <w:rPr>
                <w:rFonts w:eastAsia="Calibri"/>
                <w:lang w:eastAsia="en-US"/>
              </w:rPr>
              <w:t xml:space="preserve"> Обычно устанавливается на уровне 50 % от максимально допустимого уровня. Могут быть установлены и другие значения.</w:t>
            </w:r>
          </w:p>
        </w:tc>
      </w:tr>
    </w:tbl>
    <w:p w:rsidR="00315BDE" w:rsidRDefault="00315BDE" w:rsidP="0043778F">
      <w:pPr>
        <w:pStyle w:val="Style26"/>
        <w:widowControl/>
        <w:spacing w:line="240" w:lineRule="auto"/>
        <w:ind w:firstLine="0"/>
        <w:rPr>
          <w:rStyle w:val="FontStyle50"/>
          <w:rFonts w:ascii="Times New Roman" w:cs="Times New Roman"/>
          <w:b/>
          <w:sz w:val="24"/>
          <w:szCs w:val="24"/>
          <w:lang w:val="en-US"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4.4.3 Микробиологические требования к ультрачистому диализирующему раствору</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Общее количество жизнеспособных микроорганизмов и концентрация эндотоксинов в ультрачистом диализирующем растворе должны соответствовать максимально допустимым уровням, указанным в </w:t>
      </w:r>
      <w:r w:rsidRPr="0043778F">
        <w:rPr>
          <w:rStyle w:val="FontStyle50"/>
          <w:rFonts w:ascii="Times New Roman" w:cs="Times New Roman"/>
          <w:sz w:val="24"/>
          <w:szCs w:val="24"/>
          <w:lang w:val="en-US" w:eastAsia="en-US"/>
        </w:rPr>
        <w:t>ISO</w:t>
      </w:r>
      <w:r w:rsidRPr="0043778F">
        <w:rPr>
          <w:rStyle w:val="FontStyle50"/>
          <w:rFonts w:ascii="Times New Roman" w:cs="Times New Roman"/>
          <w:sz w:val="24"/>
          <w:szCs w:val="24"/>
          <w:lang w:eastAsia="en-US"/>
        </w:rPr>
        <w:t xml:space="preserve"> 23500-5 и воспроизведенным в таблице 4. Если эти пределы превышены в ультрачистом диализирующем растворе, следует принять корректирующие меры для снижения уровней до приемлемого диапазона. Пользователь несет ответственность за наблюдение за бактериологией диализирующего раствора всей системы после установки.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Испытания на бактериальный рост и эндотоксины не требуются, если жидкостный тракт аппарата для диализа оснащен соответствующим фильтром для удержания бактерий и эндотоксинов, валидированным изготовителем и эксплуатируемым и контролируемым в соответствии с инструкциями изготовителя, если только изготовитель не требует таких испытаний в инструкции по применению.</w:t>
      </w: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 xml:space="preserve">4.4.4 Микробиологические требования к замещающему раствору, приготовленному в режиме реального времени </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Рекомендации, содержащиеся в этом пункте, применяются к замещающему раствору по мере ее поступления в кровь пациента. </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Данный раствор должен быть стерильным и апирогенным, в соответствии с                              </w:t>
      </w:r>
      <w:r w:rsidRPr="0043778F">
        <w:rPr>
          <w:rStyle w:val="FontStyle50"/>
          <w:rFonts w:ascii="Times New Roman" w:cs="Times New Roman"/>
          <w:sz w:val="24"/>
          <w:szCs w:val="24"/>
          <w:lang w:val="en-US" w:eastAsia="en-US"/>
        </w:rPr>
        <w:t>ISO</w:t>
      </w:r>
      <w:r w:rsidRPr="0043778F">
        <w:rPr>
          <w:rStyle w:val="FontStyle50"/>
          <w:rFonts w:ascii="Times New Roman" w:cs="Times New Roman"/>
          <w:sz w:val="24"/>
          <w:szCs w:val="24"/>
          <w:lang w:eastAsia="en-US"/>
        </w:rPr>
        <w:t xml:space="preserve"> 23500-5.</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Замещающий раствор для конвективных методов лечения, таких как гемодиафильтрация и гемофильтрация, или для заполнения экстракорпорального контура или болюсного введения раствора во время лечения, может быть получен в режиме реального времени в процессе ультрафильтрации с помощью эндотоксиновых фильтров. Процесс в режиме реального времени должен быть валидирован изготовителем для получения замещающего раствора, который является стерильным и апирогенным.</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Пользователь должен следовать инструкциям изготовителя по установке, использованию, техническому обслуживанию и соответствию валидированной системы. Функция валидированной системы должна быть верифицирована в соответствии с инструкциями изготовителя во время установки и подтверждена пользователем при регулярном наблюдении. Наблюдение должно включать подтверждение того, что вода для диализа и концентраты, используемые валидированной системой для приготовления замещающего раствора, продолжают соответствовать требованиям </w:t>
      </w:r>
      <w:r w:rsidRPr="0043778F">
        <w:rPr>
          <w:rStyle w:val="FontStyle50"/>
          <w:rFonts w:ascii="Times New Roman" w:cs="Times New Roman"/>
          <w:sz w:val="24"/>
          <w:szCs w:val="24"/>
          <w:lang w:val="en-US" w:eastAsia="en-US"/>
        </w:rPr>
        <w:t>ISO</w:t>
      </w:r>
      <w:r w:rsidRPr="0043778F">
        <w:rPr>
          <w:rStyle w:val="FontStyle50"/>
          <w:rFonts w:ascii="Times New Roman" w:cs="Times New Roman"/>
          <w:sz w:val="24"/>
          <w:szCs w:val="24"/>
          <w:lang w:eastAsia="en-US"/>
        </w:rPr>
        <w:t xml:space="preserve"> 23500-4 и                          </w:t>
      </w:r>
      <w:r w:rsidRPr="0043778F">
        <w:rPr>
          <w:rStyle w:val="FontStyle50"/>
          <w:rFonts w:ascii="Times New Roman" w:cs="Times New Roman"/>
          <w:sz w:val="24"/>
          <w:szCs w:val="24"/>
          <w:lang w:val="en-US" w:eastAsia="en-US"/>
        </w:rPr>
        <w:t>ISO</w:t>
      </w:r>
      <w:r w:rsidRPr="0043778F">
        <w:rPr>
          <w:rStyle w:val="FontStyle50"/>
          <w:rFonts w:ascii="Times New Roman" w:cs="Times New Roman"/>
          <w:sz w:val="24"/>
          <w:szCs w:val="24"/>
          <w:lang w:eastAsia="en-US"/>
        </w:rPr>
        <w:t xml:space="preserve"> 23500-3.</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val="en-US" w:eastAsia="en-US"/>
        </w:rPr>
      </w:pPr>
      <w:r w:rsidRPr="0043778F">
        <w:rPr>
          <w:rStyle w:val="FontStyle50"/>
          <w:rFonts w:ascii="Times New Roman" w:cs="Times New Roman"/>
          <w:b/>
          <w:sz w:val="24"/>
          <w:szCs w:val="24"/>
          <w:lang w:val="en-US" w:eastAsia="en-US"/>
        </w:rPr>
        <w:lastRenderedPageBreak/>
        <w:t>4.5 Хранение записей</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Записи об установке, наблюдении, техническом обслуживании и дезинфекции систем водоподготовки и подготовки диализирующих растворов, медицинском наблюдении и обучении персонала должны вестись в соответствии с национальными правилами. В отсутствие национальных нормативных актов рекомендуется хранить эти записи в течение того же периода, что и клинические записи.</w:t>
      </w:r>
    </w:p>
    <w:p w:rsidR="00315BDE" w:rsidRPr="00315BDE" w:rsidRDefault="00315BDE" w:rsidP="00665703">
      <w:pPr>
        <w:pStyle w:val="Style26"/>
        <w:widowControl/>
        <w:spacing w:line="240" w:lineRule="auto"/>
        <w:ind w:firstLine="567"/>
        <w:rPr>
          <w:rStyle w:val="FontStyle50"/>
          <w:rFonts w:ascii="Times New Roman" w:cs="Times New Roman"/>
          <w:sz w:val="24"/>
          <w:szCs w:val="24"/>
          <w:lang w:eastAsia="en-US"/>
        </w:rPr>
      </w:pPr>
    </w:p>
    <w:p w:rsidR="0043778F" w:rsidRPr="00FF3390"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 xml:space="preserve">5 Критические аспекты проектирования системы </w:t>
      </w:r>
    </w:p>
    <w:p w:rsidR="0043778F" w:rsidRPr="00FF3390" w:rsidRDefault="0043778F" w:rsidP="0043778F">
      <w:pPr>
        <w:pStyle w:val="Style26"/>
        <w:widowControl/>
        <w:spacing w:line="240" w:lineRule="auto"/>
        <w:ind w:firstLine="567"/>
        <w:rPr>
          <w:rStyle w:val="FontStyle50"/>
          <w:rFonts w:ascii="Times New Roman" w:cs="Times New Roman"/>
          <w:b/>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5.1 Общие положения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Приготовление диализирующего раствора, начиная с подачи водопроводной питьевой воды и получения концентратов, и заканчивая сбросом отработанного диализирующего раствора в дренажную систему, включает в себя многочисленные компоненты, которые вместе образуют систему обработки диализирующего раствора.</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Технические характеристики компонента водоподготовки этой системы должны основываться на критериях, приведенных в ISO 23500-2, с особым учетом аспектов, связанных с качеством воды для диализа, дезинфекцией и техническим обслуживанием. В дополнение к общим характеристикам конструкция системы должна также соответствовать местным водным и строительным нормам. Обработка воды для диализа является энергоемким и ресурсоемким процессом, и при проектировании системы следует также уделять надлежащее внимание обеспечению оптимального использования ресурсов, например воды и энергии.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Концентраты, используемые с обработанной водой для приготовления диализирующего раствора, могут быть получены от поставщика в готовом к использованию виде или приготовлены в отделении диализа из воды для диализа и расфасованных солей. Технические характеристики компонента системы подготовки и распределения концентрата должны основываться на критериях, приведенных в                              ISO 23500-4.</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Отработанный или использованный диализирующий раствор сбрасывается в общественную канализацию без очистки. Дезинфицирующие растворы также могут быть утилизированы аналогичным образом. Риски для здоровья населения и окружающей среды от таких сбросов незначительны, однако такие сбросы могут повлиять на эффективность местных систем анаэробного сбраживания.</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5.2 Технические аспекты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В соответствии с требованиями, приведенными в ISO 23500-2, конструкция системы должна быть разработана специальным образом, с рассмотрением следующих моментов:</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а) при выборе системы водоподготовки следует учитывать следующие аспекты, касающиеся подачи питательной воды: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1) полный химический анализ питательной воды и индекса плотности ила (SDI);</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2) микробиологическая нагрузка, которая может потребовать введения дополнительной стадии хлорирования;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3) расход потока, давление и температура;</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4) методы обработки, используемые поставщиком питательной воды (например, добавление хлорамина, фторида, сульфата алюминия или других химических веществ). Поскольку методы обработки могут меняться, рекомендуется поддерживать постоянную связь с поставщиком питательной воды;</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sz w:val="20"/>
          <w:szCs w:val="20"/>
          <w:lang w:eastAsia="en-US"/>
        </w:rPr>
      </w:pPr>
      <w:r w:rsidRPr="0043778F">
        <w:rPr>
          <w:rStyle w:val="FontStyle50"/>
          <w:rFonts w:ascii="Times New Roman" w:cs="Times New Roman"/>
          <w:sz w:val="20"/>
          <w:szCs w:val="20"/>
          <w:lang w:eastAsia="en-US"/>
        </w:rPr>
        <w:t>Примечание – Исходная вода считается питьевой водой, отвечающей национальным требованиям к питьевой воде.</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lastRenderedPageBreak/>
        <w:t>Если подача воды в систему водоподготовки осуществляется не непосредственно из городской распределительной сети, а через существующий больничный водопровод, то следует учитывать потенциальные риски, которые могут возникнуть в результате введения химикатов в больничный водопровод инженерным персоналом больницы. Для предотвращения возникновения неблагоприятных последствий, возникающих в результате таких действий, введение или добавление химических веществ в больничное водоснабжение должно осуществляться только после предварительной консультации с нефрологическими службами. Следует также отметить, что в случае введения таких химических веществ может возникнуть необходимость в дополнительном контроле до того, как вода будет использоваться для проведения диализа.</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b) емкость очищенной воды во время дезинфекции: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если для системы запланирована тепловая дезинфекция, то распределительный контур дезинфицируется вместе со звеньями от распределительного контура к аппарату для диализа. Потребность в воде во время такой дезинфекции выше, чем требуется аппаратам для диализа во время работы; </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c) емкость очищенной воды в зимние месяцы: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обычно мощность систем обратного осмоса рассчитана на определенную температуру поступающей воды. Следует отдавать себе отчет в том, что такие температуры не могут быть достигнуты в зимние месяцы, что приводит к снижению эффективности системы. Для удовлетворения требуемой потребности в воде может возникнуть необходимость предварительного нагрева питательной воды или установки системы с повышенной производительностью для компенсации снижения эффективности обратного осмоса в зимние месяцы;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d) дезинфекция системы: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дезинфекция – это единственный эффективный метод уменьшения и инактивации микрофлоры: в первую очередь важна частота дезинфекции. Дезинфекция должна проводиться регулярно, чтобы ограничить биологическое загрязнение в жидкостных путях системы. Во-вторых, все поверхности в контуре должны быть включены в процедуру дезинфекции. Это включает в себя мембраны обратного осмоса (особенно чистую сторону), распределительные трубопроводы, входные линии к аппаратам для диализа (расположенные перед контуром дезинфекции аппарата для диализа) и аппараты для диализа (которые имеют свой собственный контур дезинфекции и программу). В-третьих, дезинфекционная процедура, применяемая с заданной частотой и с включением всех критических зон, должна быть способна свести к минимуму последствия биообрастания.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Ультрафиолетовые лампы могут быть использованы для инактивации планктонных клеток, но не имеют никакой ценности против любой биопленки, которая образовалась в системе.</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Горячая вода может быть использована для контроля размножения бактерий в системах хранения и распределения воды для диализа. Время выдержки должно соответствовать инструкциям изготовителя. Водонагреватель системы дезинфекции горячей воды должен быть способен подавать горячую воду при температуре и времени воздействия, </w:t>
      </w:r>
      <w:proofErr w:type="gramStart"/>
      <w:r w:rsidRPr="0043778F">
        <w:rPr>
          <w:rStyle w:val="FontStyle50"/>
          <w:rFonts w:ascii="Times New Roman" w:cs="Times New Roman"/>
          <w:sz w:val="24"/>
          <w:szCs w:val="24"/>
          <w:lang w:eastAsia="en-US"/>
        </w:rPr>
        <w:t>указанных</w:t>
      </w:r>
      <w:proofErr w:type="gramEnd"/>
      <w:r w:rsidRPr="0043778F">
        <w:rPr>
          <w:rStyle w:val="FontStyle50"/>
          <w:rFonts w:ascii="Times New Roman" w:cs="Times New Roman"/>
          <w:sz w:val="24"/>
          <w:szCs w:val="24"/>
          <w:lang w:eastAsia="en-US"/>
        </w:rPr>
        <w:t xml:space="preserve"> изготовителем, в любое место в системе хранения и распределения воды для диализа. Следует соблюдать инструкции изготовителя по использованию систем дезинфекции горячей воды.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Если необходимо использовать химическую дезинфекцию, то период, предшествующий следующей процедуре диализа, должен быть достаточным для того, чтобы полностью смыть химикаты из системы.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lastRenderedPageBreak/>
        <w:t>Если есть возможность дезинфицировать аппараты для гемодиализа одновременно с распределительным контуром, то это должно быть выполнено, поскольку это самый удобный и простой способ.</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e) обеспечение надлежащего </w:t>
      </w:r>
      <w:proofErr w:type="gramStart"/>
      <w:r w:rsidRPr="0043778F">
        <w:rPr>
          <w:rStyle w:val="FontStyle50"/>
          <w:rFonts w:ascii="Times New Roman" w:cs="Times New Roman"/>
          <w:sz w:val="24"/>
          <w:szCs w:val="24"/>
          <w:lang w:eastAsia="en-US"/>
        </w:rPr>
        <w:t>контроля за</w:t>
      </w:r>
      <w:proofErr w:type="gramEnd"/>
      <w:r w:rsidRPr="0043778F">
        <w:rPr>
          <w:rStyle w:val="FontStyle50"/>
          <w:rFonts w:ascii="Times New Roman" w:cs="Times New Roman"/>
          <w:sz w:val="24"/>
          <w:szCs w:val="24"/>
          <w:lang w:eastAsia="en-US"/>
        </w:rPr>
        <w:t xml:space="preserve"> технологическими процессами;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f) обслуживание и содержание.</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Если вся система обработки жидкости не получена от одного поставщика, то пользователь несет ответственность за обеспечение совместимости отдельных частей системы. </w:t>
      </w:r>
      <w:proofErr w:type="gramStart"/>
      <w:r w:rsidRPr="0043778F">
        <w:rPr>
          <w:rStyle w:val="FontStyle50"/>
          <w:rFonts w:ascii="Times New Roman" w:cs="Times New Roman"/>
          <w:sz w:val="24"/>
          <w:szCs w:val="24"/>
          <w:lang w:eastAsia="en-US"/>
        </w:rPr>
        <w:t>Например, важно, чтобы секция предварительной очистки системы водоподготовки была спроектирована таким образом, чтобы обеспечить основное устройство (обычно обратный осмос) питательной водой, соответствующей техническим требованиям для этого устройства, т. е. давлению, температуре, расходу и качеству (например, удаление химических веществ, которые не могут быть эффективно удалены основным устройством очистки или которые могут повредить его).</w:t>
      </w:r>
      <w:proofErr w:type="gramEnd"/>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sz w:val="20"/>
          <w:szCs w:val="20"/>
          <w:lang w:eastAsia="en-US"/>
        </w:rPr>
      </w:pPr>
      <w:r w:rsidRPr="0043778F">
        <w:rPr>
          <w:rStyle w:val="FontStyle50"/>
          <w:rFonts w:ascii="Times New Roman" w:cs="Times New Roman"/>
          <w:sz w:val="20"/>
          <w:szCs w:val="20"/>
          <w:lang w:eastAsia="en-US"/>
        </w:rPr>
        <w:t xml:space="preserve">Примечание </w:t>
      </w:r>
      <w:r>
        <w:rPr>
          <w:rStyle w:val="FontStyle50"/>
          <w:rFonts w:ascii="Times New Roman" w:cs="Times New Roman"/>
          <w:sz w:val="20"/>
          <w:szCs w:val="20"/>
          <w:lang w:eastAsia="en-US"/>
        </w:rPr>
        <w:t>–</w:t>
      </w:r>
      <w:r w:rsidRPr="0043778F">
        <w:rPr>
          <w:rStyle w:val="FontStyle50"/>
          <w:rFonts w:ascii="Times New Roman" w:cs="Times New Roman"/>
          <w:sz w:val="20"/>
          <w:szCs w:val="20"/>
          <w:lang w:eastAsia="en-US"/>
        </w:rPr>
        <w:t xml:space="preserve"> Есть вероятность того, что существуют обязательные местные правила водоснабжения и строительства для проектирования систем.</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5.3 Микробиологические аспекты</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Необходимое микробиологическое качество воды для диализа и диализирующего раствора достигается за счет уделения должного внимания всему каскаду подготовки воды и диализирующего раствора, включая центральные концентрационные системы. По этой причине система должна быть спроектирована таким образом, чтобы максимально уменьшить потенциальные источники загрязнения и обеспечить эффективное наблюдение и дезинфекцию критических частей.</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Когда это применимо, оборудование должно эксплуатироваться на регулярной основе, чтобы уменьшить застой.</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Распределительная система должна быть спроектирована таким образом, чтобы поддерживать качество воды для диализа или диализирующего раствора и, следовательно, соответствовать следующим критериям:</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распределительный контур должен быть минимальной длины, а также избегать многочисленных ответвлений и тупиков;</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материалы должны быть совместимы с различными условиями эксплуатации (например, подача, дезинфекция, очистка);</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не должно быть выброса химических веществ и питательных веще</w:t>
      </w:r>
      <w:proofErr w:type="gramStart"/>
      <w:r w:rsidRPr="0043778F">
        <w:rPr>
          <w:rStyle w:val="FontStyle50"/>
          <w:rFonts w:ascii="Times New Roman" w:cs="Times New Roman"/>
          <w:sz w:val="24"/>
          <w:szCs w:val="24"/>
          <w:lang w:eastAsia="en-US"/>
        </w:rPr>
        <w:t>ств дл</w:t>
      </w:r>
      <w:proofErr w:type="gramEnd"/>
      <w:r w:rsidRPr="0043778F">
        <w:rPr>
          <w:rStyle w:val="FontStyle50"/>
          <w:rFonts w:ascii="Times New Roman" w:cs="Times New Roman"/>
          <w:sz w:val="24"/>
          <w:szCs w:val="24"/>
          <w:lang w:eastAsia="en-US"/>
        </w:rPr>
        <w:t>я микроорганизмов:</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повышение температуры или воздействие солнечного света должны быть сведены к минимуму.</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Соответствующие порты отбора проб должны быть доступны в начале и в конце распределительного контура.</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5.4 Экологическое воздействие</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Экологический аспект гемодиализа имеет большое значение с точки зрения используемых ресурсов (например, вода и электричество). При планировании водоподготовки следует учитывать минимизацию количества воды, отбраковываемой системой обратного осмоса, например путем использования двухпроходной системы RO, в которой отбракованная вода проходит через вторую систему RO для улучшения рекуперации и/или использования отбракованной воды для применений, не требующих питьевой воды, например для промывки туалетов.</w:t>
      </w:r>
    </w:p>
    <w:p w:rsidR="00315BDE" w:rsidRPr="00FF3390"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Лечение больных может проходить в стационаре, клинике или в домашних условиях. Когда пациент получает лечение на дому, должно быть оказано внимание тому, </w:t>
      </w:r>
      <w:r w:rsidRPr="0043778F">
        <w:rPr>
          <w:rStyle w:val="FontStyle50"/>
          <w:rFonts w:ascii="Times New Roman" w:cs="Times New Roman"/>
          <w:sz w:val="24"/>
          <w:szCs w:val="24"/>
          <w:lang w:eastAsia="en-US"/>
        </w:rPr>
        <w:lastRenderedPageBreak/>
        <w:t>что сброс больших объемов жидкости, связанной с диализным лечением, в виде использованного диализирующего раствора или дезинфицирующих средств, связанных с поддержанием водоподготовки, может повлиять на эффективность домашней анаэробной системы. Кроме того, могут существовать местные нормативные акты; ограничивающие такие сбросы в общественные канализационные системы.</w:t>
      </w:r>
    </w:p>
    <w:p w:rsidR="0043778F" w:rsidRPr="00FF3390" w:rsidRDefault="0043778F" w:rsidP="0043778F">
      <w:pPr>
        <w:pStyle w:val="Style26"/>
        <w:widowControl/>
        <w:spacing w:line="240" w:lineRule="auto"/>
        <w:ind w:firstLine="567"/>
        <w:rPr>
          <w:rStyle w:val="FontStyle50"/>
          <w:rFonts w:ascii="Times New Roman" w:cs="Times New Roman"/>
          <w:sz w:val="24"/>
          <w:szCs w:val="24"/>
          <w:lang w:eastAsia="en-US"/>
        </w:rPr>
      </w:pPr>
    </w:p>
    <w:p w:rsidR="0043778F" w:rsidRPr="00FF3390"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 xml:space="preserve">6 Валидация производительности системы </w:t>
      </w:r>
    </w:p>
    <w:p w:rsidR="0043778F" w:rsidRPr="00FF3390" w:rsidRDefault="0043778F" w:rsidP="0043778F">
      <w:pPr>
        <w:pStyle w:val="Style26"/>
        <w:widowControl/>
        <w:spacing w:line="240" w:lineRule="auto"/>
        <w:ind w:firstLine="567"/>
        <w:rPr>
          <w:rStyle w:val="FontStyle50"/>
          <w:rFonts w:ascii="Times New Roman" w:cs="Times New Roman"/>
          <w:b/>
          <w:sz w:val="24"/>
          <w:szCs w:val="24"/>
          <w:lang w:eastAsia="en-US"/>
        </w:rPr>
      </w:pPr>
    </w:p>
    <w:p w:rsidR="0043778F" w:rsidRPr="0043778F" w:rsidRDefault="0043778F" w:rsidP="0043778F">
      <w:pPr>
        <w:pStyle w:val="Style26"/>
        <w:widowControl/>
        <w:spacing w:line="240" w:lineRule="auto"/>
        <w:ind w:firstLine="567"/>
        <w:rPr>
          <w:rStyle w:val="FontStyle50"/>
          <w:rFonts w:ascii="Times New Roman" w:cs="Times New Roman"/>
          <w:b/>
          <w:sz w:val="24"/>
          <w:szCs w:val="24"/>
          <w:lang w:eastAsia="en-US"/>
        </w:rPr>
      </w:pPr>
      <w:r w:rsidRPr="0043778F">
        <w:rPr>
          <w:rStyle w:val="FontStyle50"/>
          <w:rFonts w:ascii="Times New Roman" w:cs="Times New Roman"/>
          <w:b/>
          <w:sz w:val="24"/>
          <w:szCs w:val="24"/>
          <w:lang w:eastAsia="en-US"/>
        </w:rPr>
        <w:t>6.1 Общие положения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Процесс валидации должен обеспечить документальное подтверждение того, что система последовательно производит воду для диализа и диализирующие растворы, соответствующие требованиям качества </w:t>
      </w:r>
      <w:r w:rsidRPr="0043778F">
        <w:rPr>
          <w:rStyle w:val="FontStyle50"/>
          <w:rFonts w:ascii="Times New Roman" w:cs="Times New Roman"/>
          <w:sz w:val="24"/>
          <w:szCs w:val="24"/>
          <w:lang w:val="en-US" w:eastAsia="en-US"/>
        </w:rPr>
        <w:t>ISO</w:t>
      </w:r>
      <w:r w:rsidRPr="0043778F">
        <w:rPr>
          <w:rStyle w:val="FontStyle50"/>
          <w:rFonts w:ascii="Times New Roman" w:cs="Times New Roman"/>
          <w:sz w:val="24"/>
          <w:szCs w:val="24"/>
          <w:lang w:eastAsia="en-US"/>
        </w:rPr>
        <w:t xml:space="preserve"> 23500-3 или </w:t>
      </w:r>
      <w:r w:rsidRPr="0043778F">
        <w:rPr>
          <w:rStyle w:val="FontStyle50"/>
          <w:rFonts w:ascii="Times New Roman" w:cs="Times New Roman"/>
          <w:sz w:val="24"/>
          <w:szCs w:val="24"/>
          <w:lang w:val="en-US" w:eastAsia="en-US"/>
        </w:rPr>
        <w:t>ISO</w:t>
      </w:r>
      <w:r w:rsidRPr="0043778F">
        <w:rPr>
          <w:rStyle w:val="FontStyle50"/>
          <w:rFonts w:ascii="Times New Roman" w:cs="Times New Roman"/>
          <w:sz w:val="24"/>
          <w:szCs w:val="24"/>
          <w:lang w:eastAsia="en-US"/>
        </w:rPr>
        <w:t xml:space="preserve"> 23500-5.</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Процесс валидации состоит из следующих этапов:</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возложение оперативной ответственности: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возложение клинической ответственности;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возложение юридической ответственности;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 -план валидации;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 -монтаж и эксплуатационная квалификация;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 -квалификация исполнения;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 xml:space="preserve">- </w:t>
      </w:r>
      <w:proofErr w:type="gramStart"/>
      <w:r w:rsidRPr="0043778F">
        <w:rPr>
          <w:rStyle w:val="FontStyle50"/>
          <w:rFonts w:ascii="Times New Roman" w:cs="Times New Roman"/>
          <w:sz w:val="24"/>
          <w:szCs w:val="24"/>
          <w:lang w:eastAsia="en-US"/>
        </w:rPr>
        <w:t>повторная</w:t>
      </w:r>
      <w:proofErr w:type="gramEnd"/>
      <w:r w:rsidRPr="0043778F">
        <w:rPr>
          <w:rStyle w:val="FontStyle50"/>
          <w:rFonts w:ascii="Times New Roman" w:cs="Times New Roman"/>
          <w:sz w:val="24"/>
          <w:szCs w:val="24"/>
          <w:lang w:eastAsia="en-US"/>
        </w:rPr>
        <w:t xml:space="preserve"> валидация в том, что касается рутинного контроля.</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В приложении</w:t>
      </w:r>
      <w:proofErr w:type="gramStart"/>
      <w:r w:rsidRPr="0043778F">
        <w:rPr>
          <w:rStyle w:val="FontStyle50"/>
          <w:rFonts w:ascii="Times New Roman" w:cs="Times New Roman"/>
          <w:sz w:val="24"/>
          <w:szCs w:val="24"/>
          <w:lang w:eastAsia="en-US"/>
        </w:rPr>
        <w:t xml:space="preserve"> Е</w:t>
      </w:r>
      <w:proofErr w:type="gramEnd"/>
      <w:r w:rsidRPr="0043778F">
        <w:rPr>
          <w:rStyle w:val="FontStyle50"/>
          <w:rFonts w:ascii="Times New Roman" w:cs="Times New Roman"/>
          <w:sz w:val="24"/>
          <w:szCs w:val="24"/>
          <w:lang w:eastAsia="en-US"/>
        </w:rPr>
        <w:t xml:space="preserve"> содержится дополнительная информация о процессе валидации.</w:t>
      </w:r>
    </w:p>
    <w:p w:rsidR="0043778F" w:rsidRPr="0043778F" w:rsidRDefault="0043778F" w:rsidP="0043778F">
      <w:pPr>
        <w:pStyle w:val="Style26"/>
        <w:widowControl/>
        <w:spacing w:line="240" w:lineRule="auto"/>
        <w:ind w:firstLine="567"/>
        <w:rPr>
          <w:rStyle w:val="FontStyle50"/>
          <w:rFonts w:ascii="Times New Roman" w:cs="Times New Roman"/>
          <w:sz w:val="24"/>
          <w:szCs w:val="24"/>
          <w:lang w:eastAsia="en-US"/>
        </w:rPr>
      </w:pPr>
      <w:r w:rsidRPr="0043778F">
        <w:rPr>
          <w:rStyle w:val="FontStyle50"/>
          <w:rFonts w:ascii="Times New Roman" w:cs="Times New Roman"/>
          <w:sz w:val="24"/>
          <w:szCs w:val="24"/>
          <w:lang w:eastAsia="en-US"/>
        </w:rPr>
        <w:t>Пример процесса валидации схематически представлен на рисунке 1.</w:t>
      </w:r>
    </w:p>
    <w:p w:rsidR="00737F52" w:rsidRDefault="00737F52" w:rsidP="004636A8">
      <w:pPr>
        <w:pStyle w:val="Style15"/>
        <w:widowControl/>
        <w:ind w:firstLine="0"/>
        <w:jc w:val="center"/>
        <w:rPr>
          <w:rStyle w:val="FontStyle54"/>
          <w:rFonts w:ascii="Times New Roman" w:hAnsi="Times New Roman" w:cs="Times New Roman"/>
          <w:b/>
          <w:sz w:val="24"/>
          <w:lang w:val="kk-KZ" w:eastAsia="en-US"/>
        </w:rPr>
      </w:pPr>
    </w:p>
    <w:p w:rsidR="00737F52" w:rsidRDefault="0043778F" w:rsidP="004636A8">
      <w:pPr>
        <w:pStyle w:val="Style15"/>
        <w:widowControl/>
        <w:ind w:firstLine="0"/>
        <w:jc w:val="center"/>
        <w:rPr>
          <w:rStyle w:val="FontStyle54"/>
          <w:rFonts w:ascii="Times New Roman" w:hAnsi="Times New Roman" w:cs="Times New Roman"/>
          <w:b/>
          <w:sz w:val="24"/>
          <w:lang w:val="kk-KZ" w:eastAsia="en-US"/>
        </w:rPr>
      </w:pPr>
      <w:r>
        <w:rPr>
          <w:rFonts w:asciiTheme="majorHAnsi" w:hAnsiTheme="majorHAnsi"/>
          <w:noProof/>
        </w:rPr>
        <mc:AlternateContent>
          <mc:Choice Requires="wps">
            <w:drawing>
              <wp:anchor distT="0" distB="0" distL="114300" distR="114300" simplePos="0" relativeHeight="251670528" behindDoc="0" locked="0" layoutInCell="1" allowOverlap="1">
                <wp:simplePos x="0" y="0"/>
                <wp:positionH relativeFrom="column">
                  <wp:posOffset>2223769</wp:posOffset>
                </wp:positionH>
                <wp:positionV relativeFrom="paragraph">
                  <wp:posOffset>4223657</wp:posOffset>
                </wp:positionV>
                <wp:extent cx="1512661" cy="262890"/>
                <wp:effectExtent l="0" t="0" r="0" b="381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661"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Валидация новой системы</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4" o:spid="_x0000_s1026" type="#_x0000_t202" style="position:absolute;left:0;text-align:left;margin-left:175.1pt;margin-top:332.55pt;width:119.1pt;height:20.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" stroked="f">
                <v:textbox inset="0,0,0,0">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Валидация новой системы</w:t>
                      </w:r>
                    </w:p>
                  </w:txbxContent>
                </v:textbox>
              </v:shape>
            </w:pict>
          </mc:Fallback>
        </mc:AlternateContent>
      </w:r>
      <w:r>
        <w:rPr>
          <w:rFonts w:asciiTheme="majorHAnsi" w:hAnsiTheme="majorHAnsi"/>
          <w:noProof/>
        </w:rPr>
        <mc:AlternateContent>
          <mc:Choice Requires="wps">
            <w:drawing>
              <wp:anchor distT="0" distB="0" distL="114300" distR="114300" simplePos="0" relativeHeight="251669504" behindDoc="0" locked="0" layoutInCell="1" allowOverlap="1">
                <wp:simplePos x="0" y="0"/>
                <wp:positionH relativeFrom="column">
                  <wp:posOffset>2539456</wp:posOffset>
                </wp:positionH>
                <wp:positionV relativeFrom="paragraph">
                  <wp:posOffset>3363686</wp:posOffset>
                </wp:positionV>
                <wp:extent cx="2198914" cy="359228"/>
                <wp:effectExtent l="0" t="0" r="0" b="3175"/>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8914" cy="3592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Идентификация затронутых компонентов и оценка рисков</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13" o:spid="_x0000_s1027" type="#_x0000_t202" style="position:absolute;left:0;text-align:left;margin-left:199.95pt;margin-top:264.85pt;width:173.15pt;height:28.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" stroked="f">
                <v:textbox inset="0,0,0,0">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Идентификация затронутых компонентов и оценка рисков</w:t>
                      </w:r>
                    </w:p>
                  </w:txbxContent>
                </v:textbox>
              </v:shape>
            </w:pict>
          </mc:Fallback>
        </mc:AlternateContent>
      </w:r>
      <w:r>
        <w:rPr>
          <w:rFonts w:asciiTheme="majorHAnsi" w:hAnsiTheme="majorHAnsi"/>
          <w:noProof/>
        </w:rPr>
        <mc:AlternateContent>
          <mc:Choice Requires="wps">
            <w:drawing>
              <wp:anchor distT="0" distB="0" distL="114300" distR="114300" simplePos="0" relativeHeight="251668480" behindDoc="0" locked="0" layoutInCell="1" allowOverlap="1">
                <wp:simplePos x="0" y="0"/>
                <wp:positionH relativeFrom="column">
                  <wp:posOffset>351426</wp:posOffset>
                </wp:positionH>
                <wp:positionV relativeFrom="paragraph">
                  <wp:posOffset>3439886</wp:posOffset>
                </wp:positionV>
                <wp:extent cx="1567543" cy="119380"/>
                <wp:effectExtent l="0" t="0" r="0" b="0"/>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543" cy="119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Возможные изменения</w:t>
                            </w:r>
                          </w:p>
                        </w:txbxContent>
                      </wps:txbx>
                      <wps:bodyPr rot="0" vert="horz" wrap="square" lIns="0" tIns="0" rIns="0" bIns="0" anchor="ctr"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12" o:spid="_x0000_s1028" type="#_x0000_t202" style="position:absolute;left:0;text-align:left;margin-left:27.65pt;margin-top:270.85pt;width:123.45pt;height:9.4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" stroked="f">
                <v:textbox style="mso-fit-shape-to-text:t" inset="0,0,0,0">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Возможные изменения</w:t>
                      </w:r>
                    </w:p>
                  </w:txbxContent>
                </v:textbox>
              </v:shape>
            </w:pict>
          </mc:Fallback>
        </mc:AlternateContent>
      </w:r>
      <w:r>
        <w:rPr>
          <w:rFonts w:asciiTheme="majorHAnsi" w:hAnsiTheme="majorHAnsi"/>
          <w:noProof/>
        </w:rPr>
        <mc:AlternateContent>
          <mc:Choice Requires="wps">
            <w:drawing>
              <wp:anchor distT="0" distB="0" distL="114300" distR="114300" simplePos="0" relativeHeight="251667456" behindDoc="0" locked="0" layoutInCell="1" allowOverlap="1">
                <wp:simplePos x="0" y="0"/>
                <wp:positionH relativeFrom="column">
                  <wp:posOffset>351155</wp:posOffset>
                </wp:positionH>
                <wp:positionV relativeFrom="paragraph">
                  <wp:posOffset>2927441</wp:posOffset>
                </wp:positionV>
                <wp:extent cx="1208314" cy="119380"/>
                <wp:effectExtent l="0" t="0" r="0" b="0"/>
                <wp:wrapNone/>
                <wp:docPr id="11" name="Поле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314" cy="119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Рутинный контроль</w:t>
                            </w:r>
                          </w:p>
                        </w:txbxContent>
                      </wps:txbx>
                      <wps:bodyPr rot="0" vert="horz" wrap="square" lIns="0" tIns="0" rIns="0" bIns="0" anchor="ctr"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11" o:spid="_x0000_s1029" type="#_x0000_t202" style="position:absolute;left:0;text-align:left;margin-left:27.65pt;margin-top:230.5pt;width:95.15pt;height:9.4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" stroked="f">
                <v:textbox style="mso-fit-shape-to-text:t" inset="0,0,0,0">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Рутинный контроль</w:t>
                      </w:r>
                    </w:p>
                  </w:txbxContent>
                </v:textbox>
              </v:shape>
            </w:pict>
          </mc:Fallback>
        </mc:AlternateContent>
      </w:r>
      <w:r>
        <w:rPr>
          <w:rFonts w:asciiTheme="majorHAnsi" w:hAnsiTheme="majorHAnsi"/>
          <w:noProof/>
        </w:rPr>
        <mc:AlternateContent>
          <mc:Choice Requires="wps">
            <w:drawing>
              <wp:anchor distT="0" distB="0" distL="114300" distR="114300" simplePos="0" relativeHeight="251666432" behindDoc="0" locked="0" layoutInCell="1" allowOverlap="1">
                <wp:simplePos x="0" y="0"/>
                <wp:positionH relativeFrom="column">
                  <wp:posOffset>2223770</wp:posOffset>
                </wp:positionH>
                <wp:positionV relativeFrom="paragraph">
                  <wp:posOffset>2906486</wp:posOffset>
                </wp:positionV>
                <wp:extent cx="1045029" cy="293914"/>
                <wp:effectExtent l="0" t="0" r="3175" b="0"/>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029" cy="2939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Сбор данных и анализ трендов</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10" o:spid="_x0000_s1030" type="#_x0000_t202" style="position:absolute;left:0;text-align:left;margin-left:175.1pt;margin-top:228.85pt;width:82.3pt;height:23.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" stroked="f">
                <v:textbox inset="0,0,0,0">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Сбор данных и анализ трендов</w:t>
                      </w:r>
                    </w:p>
                  </w:txbxContent>
                </v:textbox>
              </v:shape>
            </w:pict>
          </mc:Fallback>
        </mc:AlternateContent>
      </w:r>
      <w:r>
        <w:rPr>
          <w:rFonts w:asciiTheme="majorHAnsi" w:hAnsiTheme="majorHAnsi"/>
          <w:noProof/>
        </w:rPr>
        <mc:AlternateContent>
          <mc:Choice Requires="wps">
            <w:drawing>
              <wp:anchor distT="0" distB="0" distL="114300" distR="114300" simplePos="0" relativeHeight="251665408" behindDoc="0" locked="0" layoutInCell="1" allowOverlap="1">
                <wp:simplePos x="0" y="0"/>
                <wp:positionH relativeFrom="column">
                  <wp:posOffset>3921941</wp:posOffset>
                </wp:positionH>
                <wp:positionV relativeFrom="paragraph">
                  <wp:posOffset>2699657</wp:posOffset>
                </wp:positionV>
                <wp:extent cx="1785258" cy="419100"/>
                <wp:effectExtent l="0" t="0" r="5715" b="0"/>
                <wp:wrapNone/>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5258"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7"/>
                                <w:szCs w:val="17"/>
                              </w:rPr>
                            </w:pPr>
                            <w:r w:rsidRPr="0043778F">
                              <w:rPr>
                                <w:rFonts w:asciiTheme="majorHAnsi" w:hAnsiTheme="majorHAnsi"/>
                                <w:sz w:val="17"/>
                                <w:szCs w:val="17"/>
                              </w:rPr>
                              <w:t>Подтверждение или модификация метода контроля (ретроспективная валидация)</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9" o:spid="_x0000_s1031" type="#_x0000_t202" style="position:absolute;left:0;text-align:left;margin-left:308.8pt;margin-top:212.55pt;width:140.55pt;height:3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" stroked="f">
                <v:textbox inset="0,0,0,0">
                  <w:txbxContent>
                    <w:p w:rsidR="00E758BC" w:rsidRPr="0043778F" w:rsidRDefault="00E758BC" w:rsidP="0043778F">
                      <w:pPr>
                        <w:ind w:firstLine="0"/>
                        <w:jc w:val="center"/>
                        <w:rPr>
                          <w:rFonts w:asciiTheme="majorHAnsi" w:hAnsiTheme="majorHAnsi"/>
                          <w:sz w:val="17"/>
                          <w:szCs w:val="17"/>
                        </w:rPr>
                      </w:pPr>
                      <w:r w:rsidRPr="0043778F">
                        <w:rPr>
                          <w:rFonts w:asciiTheme="majorHAnsi" w:hAnsiTheme="majorHAnsi"/>
                          <w:sz w:val="17"/>
                          <w:szCs w:val="17"/>
                        </w:rPr>
                        <w:t>Подтверждение или модификация метода контроля (ретроспективная валидация)</w:t>
                      </w:r>
                    </w:p>
                  </w:txbxContent>
                </v:textbox>
              </v:shape>
            </w:pict>
          </mc:Fallback>
        </mc:AlternateContent>
      </w:r>
      <w:r>
        <w:rPr>
          <w:rFonts w:asciiTheme="majorHAnsi" w:hAnsiTheme="majorHAnsi"/>
          <w:noProof/>
        </w:rPr>
        <mc:AlternateContent>
          <mc:Choice Requires="wps">
            <w:drawing>
              <wp:anchor distT="0" distB="0" distL="114300" distR="114300" simplePos="0" relativeHeight="251664384" behindDoc="0" locked="0" layoutInCell="1" allowOverlap="1">
                <wp:simplePos x="0" y="0"/>
                <wp:positionH relativeFrom="column">
                  <wp:posOffset>2538095</wp:posOffset>
                </wp:positionH>
                <wp:positionV relativeFrom="paragraph">
                  <wp:posOffset>2427061</wp:posOffset>
                </wp:positionV>
                <wp:extent cx="1197429" cy="119380"/>
                <wp:effectExtent l="0" t="0" r="3175" b="3810"/>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7429" cy="119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rPr>
                            </w:pPr>
                            <w:r w:rsidRPr="0043778F">
                              <w:rPr>
                                <w:rFonts w:asciiTheme="majorHAnsi" w:hAnsiTheme="majorHAnsi"/>
                              </w:rPr>
                              <w:t>Валидация</w:t>
                            </w:r>
                          </w:p>
                        </w:txbxContent>
                      </wps:txbx>
                      <wps:bodyPr rot="0" vert="horz" wrap="square" lIns="0" tIns="0" rIns="0" bIns="0" anchor="ctr"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8" o:spid="_x0000_s1032" type="#_x0000_t202" style="position:absolute;left:0;text-align:left;margin-left:199.85pt;margin-top:191.1pt;width:94.3pt;height:9.4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" stroked="f">
                <v:textbox style="mso-fit-shape-to-text:t" inset="0,0,0,0">
                  <w:txbxContent>
                    <w:p w:rsidR="00E758BC" w:rsidRPr="0043778F" w:rsidRDefault="00E758BC" w:rsidP="0043778F">
                      <w:pPr>
                        <w:ind w:firstLine="0"/>
                        <w:jc w:val="center"/>
                        <w:rPr>
                          <w:rFonts w:asciiTheme="majorHAnsi" w:hAnsiTheme="majorHAnsi"/>
                        </w:rPr>
                      </w:pPr>
                      <w:r w:rsidRPr="0043778F">
                        <w:rPr>
                          <w:rFonts w:asciiTheme="majorHAnsi" w:hAnsiTheme="majorHAnsi"/>
                        </w:rPr>
                        <w:t>Валидация</w:t>
                      </w:r>
                    </w:p>
                  </w:txbxContent>
                </v:textbox>
              </v:shape>
            </w:pict>
          </mc:Fallback>
        </mc:AlternateContent>
      </w:r>
      <w:r>
        <w:rPr>
          <w:rFonts w:asciiTheme="majorHAnsi" w:hAnsiTheme="majorHAnsi"/>
          <w:noProof/>
        </w:rPr>
        <mc:AlternateContent>
          <mc:Choice Requires="wps">
            <w:drawing>
              <wp:anchor distT="0" distB="0" distL="114300" distR="114300" simplePos="0" relativeHeight="251663360" behindDoc="0" locked="0" layoutInCell="1" allowOverlap="1">
                <wp:simplePos x="0" y="0"/>
                <wp:positionH relativeFrom="column">
                  <wp:posOffset>351427</wp:posOffset>
                </wp:positionH>
                <wp:positionV relativeFrom="paragraph">
                  <wp:posOffset>1197429</wp:posOffset>
                </wp:positionV>
                <wp:extent cx="1153886" cy="892628"/>
                <wp:effectExtent l="0" t="0" r="8255" b="3175"/>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886" cy="8926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left"/>
                              <w:rPr>
                                <w:rFonts w:asciiTheme="majorHAnsi" w:hAnsiTheme="majorHAnsi"/>
                                <w:sz w:val="18"/>
                                <w:szCs w:val="18"/>
                              </w:rPr>
                            </w:pPr>
                            <w:r>
                              <w:rPr>
                                <w:rFonts w:asciiTheme="majorHAnsi" w:hAnsiTheme="majorHAnsi"/>
                                <w:sz w:val="16"/>
                              </w:rPr>
                              <w:sym w:font="Wingdings 2" w:char="F097"/>
                            </w:r>
                            <w:r>
                              <w:rPr>
                                <w:rFonts w:asciiTheme="majorHAnsi" w:hAnsiTheme="majorHAnsi"/>
                                <w:sz w:val="16"/>
                              </w:rPr>
                              <w:t xml:space="preserve"> </w:t>
                            </w:r>
                            <w:r w:rsidRPr="0043778F">
                              <w:rPr>
                                <w:rFonts w:asciiTheme="majorHAnsi" w:hAnsiTheme="majorHAnsi"/>
                                <w:sz w:val="18"/>
                                <w:szCs w:val="18"/>
                              </w:rPr>
                              <w:t>Проектирование</w:t>
                            </w:r>
                          </w:p>
                          <w:p w:rsidR="00E758BC" w:rsidRPr="0043778F" w:rsidRDefault="00E758BC" w:rsidP="0043778F">
                            <w:pPr>
                              <w:ind w:firstLine="0"/>
                              <w:jc w:val="left"/>
                              <w:rPr>
                                <w:rFonts w:asciiTheme="majorHAnsi" w:hAnsiTheme="majorHAnsi"/>
                                <w:sz w:val="18"/>
                                <w:szCs w:val="18"/>
                              </w:rPr>
                            </w:pPr>
                            <w:r w:rsidRPr="0043778F">
                              <w:rPr>
                                <w:rFonts w:asciiTheme="majorHAnsi" w:hAnsiTheme="majorHAnsi"/>
                                <w:sz w:val="18"/>
                                <w:szCs w:val="18"/>
                              </w:rPr>
                              <w:sym w:font="Wingdings 2" w:char="F097"/>
                            </w:r>
                            <w:r w:rsidRPr="0043778F">
                              <w:rPr>
                                <w:rFonts w:asciiTheme="majorHAnsi" w:hAnsiTheme="majorHAnsi"/>
                                <w:sz w:val="18"/>
                                <w:szCs w:val="18"/>
                              </w:rPr>
                              <w:t xml:space="preserve"> Требования и параметры</w:t>
                            </w:r>
                          </w:p>
                          <w:p w:rsidR="00E758BC" w:rsidRPr="0043778F" w:rsidRDefault="00E758BC" w:rsidP="0043778F">
                            <w:pPr>
                              <w:ind w:firstLine="0"/>
                              <w:jc w:val="left"/>
                              <w:rPr>
                                <w:rFonts w:asciiTheme="majorHAnsi" w:hAnsiTheme="majorHAnsi"/>
                                <w:sz w:val="18"/>
                                <w:szCs w:val="18"/>
                              </w:rPr>
                            </w:pPr>
                            <w:r w:rsidRPr="0043778F">
                              <w:rPr>
                                <w:rFonts w:asciiTheme="majorHAnsi" w:hAnsiTheme="majorHAnsi"/>
                                <w:sz w:val="18"/>
                                <w:szCs w:val="18"/>
                              </w:rPr>
                              <w:sym w:font="Wingdings 2" w:char="F097"/>
                            </w:r>
                            <w:r w:rsidRPr="0043778F">
                              <w:rPr>
                                <w:rFonts w:asciiTheme="majorHAnsi" w:hAnsiTheme="majorHAnsi"/>
                                <w:sz w:val="18"/>
                                <w:szCs w:val="18"/>
                              </w:rPr>
                              <w:t xml:space="preserve"> Обучение и документы</w:t>
                            </w:r>
                          </w:p>
                          <w:p w:rsidR="00E758BC" w:rsidRPr="0043778F" w:rsidRDefault="00E758BC" w:rsidP="0043778F">
                            <w:pPr>
                              <w:ind w:firstLine="0"/>
                              <w:jc w:val="left"/>
                              <w:rPr>
                                <w:rFonts w:asciiTheme="majorHAnsi" w:hAnsiTheme="majorHAnsi"/>
                                <w:sz w:val="18"/>
                                <w:szCs w:val="18"/>
                              </w:rPr>
                            </w:pPr>
                            <w:r w:rsidRPr="0043778F">
                              <w:rPr>
                                <w:rFonts w:asciiTheme="majorHAnsi" w:hAnsiTheme="majorHAnsi"/>
                                <w:sz w:val="18"/>
                                <w:szCs w:val="18"/>
                              </w:rPr>
                              <w:sym w:font="Wingdings 2" w:char="F097"/>
                            </w:r>
                            <w:r w:rsidRPr="0043778F">
                              <w:rPr>
                                <w:rFonts w:asciiTheme="majorHAnsi" w:hAnsiTheme="majorHAnsi"/>
                                <w:sz w:val="18"/>
                                <w:szCs w:val="18"/>
                              </w:rPr>
                              <w:t xml:space="preserve"> Управление риском</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 o:spid="_x0000_s1033" type="#_x0000_t202" style="position:absolute;left:0;text-align:left;margin-left:27.65pt;margin-top:94.3pt;width:90.85pt;height:70.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" stroked="f">
                <v:textbox inset="0,0,0,0">
                  <w:txbxContent>
                    <w:p w:rsidR="00E758BC" w:rsidRPr="0043778F" w:rsidRDefault="00E758BC" w:rsidP="0043778F">
                      <w:pPr>
                        <w:ind w:firstLine="0"/>
                        <w:jc w:val="left"/>
                        <w:rPr>
                          <w:rFonts w:asciiTheme="majorHAnsi" w:hAnsiTheme="majorHAnsi"/>
                          <w:sz w:val="18"/>
                          <w:szCs w:val="18"/>
                        </w:rPr>
                      </w:pPr>
                      <w:r>
                        <w:rPr>
                          <w:rFonts w:asciiTheme="majorHAnsi" w:hAnsiTheme="majorHAnsi"/>
                          <w:sz w:val="16"/>
                        </w:rPr>
                        <w:sym w:font="Wingdings 2" w:char="F097"/>
                      </w:r>
                      <w:r>
                        <w:rPr>
                          <w:rFonts w:asciiTheme="majorHAnsi" w:hAnsiTheme="majorHAnsi"/>
                          <w:sz w:val="16"/>
                        </w:rPr>
                        <w:t xml:space="preserve"> </w:t>
                      </w:r>
                      <w:r w:rsidRPr="0043778F">
                        <w:rPr>
                          <w:rFonts w:asciiTheme="majorHAnsi" w:hAnsiTheme="majorHAnsi"/>
                          <w:sz w:val="18"/>
                          <w:szCs w:val="18"/>
                        </w:rPr>
                        <w:t>Проектирование</w:t>
                      </w:r>
                    </w:p>
                    <w:p w:rsidR="00E758BC" w:rsidRPr="0043778F" w:rsidRDefault="00E758BC" w:rsidP="0043778F">
                      <w:pPr>
                        <w:ind w:firstLine="0"/>
                        <w:jc w:val="left"/>
                        <w:rPr>
                          <w:rFonts w:asciiTheme="majorHAnsi" w:hAnsiTheme="majorHAnsi"/>
                          <w:sz w:val="18"/>
                          <w:szCs w:val="18"/>
                        </w:rPr>
                      </w:pPr>
                      <w:r w:rsidRPr="0043778F">
                        <w:rPr>
                          <w:rFonts w:asciiTheme="majorHAnsi" w:hAnsiTheme="majorHAnsi"/>
                          <w:sz w:val="18"/>
                          <w:szCs w:val="18"/>
                        </w:rPr>
                        <w:sym w:font="Wingdings 2" w:char="F097"/>
                      </w:r>
                      <w:r w:rsidRPr="0043778F">
                        <w:rPr>
                          <w:rFonts w:asciiTheme="majorHAnsi" w:hAnsiTheme="majorHAnsi"/>
                          <w:sz w:val="18"/>
                          <w:szCs w:val="18"/>
                        </w:rPr>
                        <w:t xml:space="preserve"> Требования и параметры</w:t>
                      </w:r>
                    </w:p>
                    <w:p w:rsidR="00E758BC" w:rsidRPr="0043778F" w:rsidRDefault="00E758BC" w:rsidP="0043778F">
                      <w:pPr>
                        <w:ind w:firstLine="0"/>
                        <w:jc w:val="left"/>
                        <w:rPr>
                          <w:rFonts w:asciiTheme="majorHAnsi" w:hAnsiTheme="majorHAnsi"/>
                          <w:sz w:val="18"/>
                          <w:szCs w:val="18"/>
                        </w:rPr>
                      </w:pPr>
                      <w:r w:rsidRPr="0043778F">
                        <w:rPr>
                          <w:rFonts w:asciiTheme="majorHAnsi" w:hAnsiTheme="majorHAnsi"/>
                          <w:sz w:val="18"/>
                          <w:szCs w:val="18"/>
                        </w:rPr>
                        <w:sym w:font="Wingdings 2" w:char="F097"/>
                      </w:r>
                      <w:r w:rsidRPr="0043778F">
                        <w:rPr>
                          <w:rFonts w:asciiTheme="majorHAnsi" w:hAnsiTheme="majorHAnsi"/>
                          <w:sz w:val="18"/>
                          <w:szCs w:val="18"/>
                        </w:rPr>
                        <w:t xml:space="preserve"> Обучение и документы</w:t>
                      </w:r>
                    </w:p>
                    <w:p w:rsidR="00E758BC" w:rsidRPr="0043778F" w:rsidRDefault="00E758BC" w:rsidP="0043778F">
                      <w:pPr>
                        <w:ind w:firstLine="0"/>
                        <w:jc w:val="left"/>
                        <w:rPr>
                          <w:rFonts w:asciiTheme="majorHAnsi" w:hAnsiTheme="majorHAnsi"/>
                          <w:sz w:val="18"/>
                          <w:szCs w:val="18"/>
                        </w:rPr>
                      </w:pPr>
                      <w:r w:rsidRPr="0043778F">
                        <w:rPr>
                          <w:rFonts w:asciiTheme="majorHAnsi" w:hAnsiTheme="majorHAnsi"/>
                          <w:sz w:val="18"/>
                          <w:szCs w:val="18"/>
                        </w:rPr>
                        <w:sym w:font="Wingdings 2" w:char="F097"/>
                      </w:r>
                      <w:r w:rsidRPr="0043778F">
                        <w:rPr>
                          <w:rFonts w:asciiTheme="majorHAnsi" w:hAnsiTheme="majorHAnsi"/>
                          <w:sz w:val="18"/>
                          <w:szCs w:val="18"/>
                        </w:rPr>
                        <w:t xml:space="preserve"> Управление риском</w:t>
                      </w:r>
                    </w:p>
                  </w:txbxContent>
                </v:textbox>
              </v:shape>
            </w:pict>
          </mc:Fallback>
        </mc:AlternateContent>
      </w:r>
      <w:r>
        <w:rPr>
          <w:rFonts w:asciiTheme="majorHAnsi" w:hAnsiTheme="majorHAnsi"/>
          <w:noProof/>
        </w:rPr>
        <mc:AlternateContent>
          <mc:Choice Requires="wps">
            <w:drawing>
              <wp:anchor distT="0" distB="0" distL="114300" distR="114300" simplePos="0" relativeHeight="251662336" behindDoc="0" locked="0" layoutInCell="1" allowOverlap="1">
                <wp:simplePos x="0" y="0"/>
                <wp:positionH relativeFrom="column">
                  <wp:posOffset>3203484</wp:posOffset>
                </wp:positionH>
                <wp:positionV relativeFrom="paragraph">
                  <wp:posOffset>1871345</wp:posOffset>
                </wp:positionV>
                <wp:extent cx="2449286" cy="163285"/>
                <wp:effectExtent l="0" t="0" r="8255" b="8255"/>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9286" cy="163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6034D8" w:rsidRDefault="00E758BC" w:rsidP="0043778F">
                            <w:pPr>
                              <w:ind w:firstLine="0"/>
                              <w:rPr>
                                <w:rFonts w:asciiTheme="majorHAnsi" w:hAnsiTheme="majorHAnsi"/>
                                <w:sz w:val="16"/>
                              </w:rPr>
                            </w:pPr>
                            <w:r>
                              <w:rPr>
                                <w:rFonts w:asciiTheme="majorHAnsi" w:hAnsiTheme="majorHAnsi"/>
                                <w:sz w:val="16"/>
                              </w:rPr>
                              <w:t>Полная произв-сть/надежность</w:t>
                            </w:r>
                            <w:r>
                              <w:rPr>
                                <w:rFonts w:asciiTheme="majorHAnsi" w:hAnsiTheme="majorHAnsi"/>
                                <w:sz w:val="16"/>
                                <w:lang w:val="kk-KZ"/>
                              </w:rPr>
                              <w:t xml:space="preserve"> </w:t>
                            </w:r>
                            <w:proofErr w:type="gramStart"/>
                            <w:r>
                              <w:rPr>
                                <w:rFonts w:asciiTheme="majorHAnsi" w:hAnsiTheme="majorHAnsi"/>
                                <w:sz w:val="16"/>
                              </w:rPr>
                              <w:t>проверены</w:t>
                            </w:r>
                            <w:proofErr w:type="gramEnd"/>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 o:spid="_x0000_s1034" type="#_x0000_t202" style="position:absolute;left:0;text-align:left;margin-left:252.25pt;margin-top:147.35pt;width:192.85pt;height:1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" stroked="f">
                <v:textbox inset="0,0,0,0">
                  <w:txbxContent>
                    <w:p w:rsidR="00E758BC" w:rsidRPr="006034D8" w:rsidRDefault="00E758BC" w:rsidP="0043778F">
                      <w:pPr>
                        <w:ind w:firstLine="0"/>
                        <w:rPr>
                          <w:rFonts w:asciiTheme="majorHAnsi" w:hAnsiTheme="majorHAnsi"/>
                          <w:sz w:val="16"/>
                        </w:rPr>
                      </w:pPr>
                      <w:r>
                        <w:rPr>
                          <w:rFonts w:asciiTheme="majorHAnsi" w:hAnsiTheme="majorHAnsi"/>
                          <w:sz w:val="16"/>
                        </w:rPr>
                        <w:t>Полная произв-сть/надежность</w:t>
                      </w:r>
                      <w:r>
                        <w:rPr>
                          <w:rFonts w:asciiTheme="majorHAnsi" w:hAnsiTheme="majorHAnsi"/>
                          <w:sz w:val="16"/>
                          <w:lang w:val="kk-KZ"/>
                        </w:rPr>
                        <w:t xml:space="preserve"> </w:t>
                      </w:r>
                      <w:proofErr w:type="gramStart"/>
                      <w:r>
                        <w:rPr>
                          <w:rFonts w:asciiTheme="majorHAnsi" w:hAnsiTheme="majorHAnsi"/>
                          <w:sz w:val="16"/>
                        </w:rPr>
                        <w:t>проверены</w:t>
                      </w:r>
                      <w:proofErr w:type="gramEnd"/>
                    </w:p>
                  </w:txbxContent>
                </v:textbox>
              </v:shape>
            </w:pict>
          </mc:Fallback>
        </mc:AlternateContent>
      </w:r>
      <w:r>
        <w:rPr>
          <w:rFonts w:asciiTheme="majorHAnsi" w:hAnsiTheme="majorHAnsi"/>
          <w:noProof/>
        </w:rPr>
        <mc:AlternateContent>
          <mc:Choice Requires="wps">
            <w:drawing>
              <wp:anchor distT="0" distB="0" distL="114300" distR="114300" simplePos="0" relativeHeight="251661312" behindDoc="0" locked="0" layoutInCell="1" allowOverlap="1">
                <wp:simplePos x="0" y="0"/>
                <wp:positionH relativeFrom="column">
                  <wp:posOffset>3197860</wp:posOffset>
                </wp:positionH>
                <wp:positionV relativeFrom="paragraph">
                  <wp:posOffset>1481364</wp:posOffset>
                </wp:positionV>
                <wp:extent cx="2226310" cy="119380"/>
                <wp:effectExtent l="0" t="0" r="2540"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10" cy="119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6034D8" w:rsidRDefault="00E758BC" w:rsidP="0043778F">
                            <w:pPr>
                              <w:ind w:firstLine="0"/>
                              <w:jc w:val="center"/>
                              <w:rPr>
                                <w:rFonts w:asciiTheme="majorHAnsi" w:hAnsiTheme="majorHAnsi"/>
                                <w:sz w:val="16"/>
                              </w:rPr>
                            </w:pPr>
                            <w:r>
                              <w:rPr>
                                <w:rFonts w:asciiTheme="majorHAnsi" w:hAnsiTheme="majorHAnsi"/>
                                <w:sz w:val="16"/>
                              </w:rPr>
                              <w:t>Ограничения заданы и эксплуатация проверена</w:t>
                            </w:r>
                          </w:p>
                        </w:txbxContent>
                      </wps:txbx>
                      <wps:bodyPr rot="0" vert="horz" wrap="square" lIns="0" tIns="0" rIns="0" bIns="0" anchor="ctr"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5" o:spid="_x0000_s1035" type="#_x0000_t202" style="position:absolute;left:0;text-align:left;margin-left:251.8pt;margin-top:116.65pt;width:175.3pt;height:9.4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" stroked="f">
                <v:textbox style="mso-fit-shape-to-text:t" inset="0,0,0,0">
                  <w:txbxContent>
                    <w:p w:rsidR="00E758BC" w:rsidRPr="006034D8" w:rsidRDefault="00E758BC" w:rsidP="0043778F">
                      <w:pPr>
                        <w:ind w:firstLine="0"/>
                        <w:jc w:val="center"/>
                        <w:rPr>
                          <w:rFonts w:asciiTheme="majorHAnsi" w:hAnsiTheme="majorHAnsi"/>
                          <w:sz w:val="16"/>
                        </w:rPr>
                      </w:pPr>
                      <w:r>
                        <w:rPr>
                          <w:rFonts w:asciiTheme="majorHAnsi" w:hAnsiTheme="majorHAnsi"/>
                          <w:sz w:val="16"/>
                        </w:rPr>
                        <w:t>Ограничения заданы и эксплуатация проверена</w:t>
                      </w:r>
                    </w:p>
                  </w:txbxContent>
                </v:textbox>
              </v:shape>
            </w:pict>
          </mc:Fallback>
        </mc:AlternateContent>
      </w:r>
      <w:r>
        <w:rPr>
          <w:rFonts w:asciiTheme="majorHAnsi" w:hAnsiTheme="majorHAnsi"/>
          <w:noProof/>
        </w:rPr>
        <mc:AlternateContent>
          <mc:Choice Requires="wps">
            <w:drawing>
              <wp:anchor distT="0" distB="0" distL="114300" distR="114300" simplePos="0" relativeHeight="251660288" behindDoc="0" locked="0" layoutInCell="1" allowOverlap="1">
                <wp:simplePos x="0" y="0"/>
                <wp:positionH relativeFrom="column">
                  <wp:posOffset>3198404</wp:posOffset>
                </wp:positionH>
                <wp:positionV relativeFrom="paragraph">
                  <wp:posOffset>1078230</wp:posOffset>
                </wp:positionV>
                <wp:extent cx="1286510" cy="119380"/>
                <wp:effectExtent l="0" t="0" r="889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6510" cy="119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6034D8" w:rsidRDefault="00E758BC" w:rsidP="0043778F">
                            <w:pPr>
                              <w:ind w:firstLine="0"/>
                              <w:jc w:val="center"/>
                              <w:rPr>
                                <w:rFonts w:asciiTheme="majorHAnsi" w:hAnsiTheme="majorHAnsi"/>
                                <w:sz w:val="16"/>
                              </w:rPr>
                            </w:pPr>
                            <w:r>
                              <w:rPr>
                                <w:rFonts w:asciiTheme="majorHAnsi" w:hAnsiTheme="majorHAnsi"/>
                                <w:sz w:val="16"/>
                              </w:rPr>
                              <w:t xml:space="preserve">Правильно ли </w:t>
                            </w:r>
                            <w:proofErr w:type="gramStart"/>
                            <w:r>
                              <w:rPr>
                                <w:rFonts w:asciiTheme="majorHAnsi" w:hAnsiTheme="majorHAnsi"/>
                                <w:sz w:val="16"/>
                              </w:rPr>
                              <w:t>установлен</w:t>
                            </w:r>
                            <w:proofErr w:type="gramEnd"/>
                            <w:r>
                              <w:rPr>
                                <w:rFonts w:asciiTheme="majorHAnsi" w:hAnsiTheme="majorHAnsi"/>
                                <w:sz w:val="16"/>
                              </w:rPr>
                              <w:t>?</w:t>
                            </w:r>
                          </w:p>
                        </w:txbxContent>
                      </wps:txbx>
                      <wps:bodyPr rot="0" vert="horz" wrap="square" lIns="0" tIns="0" rIns="0" bIns="0" anchor="ctr"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4" o:spid="_x0000_s1036" type="#_x0000_t202" style="position:absolute;left:0;text-align:left;margin-left:251.85pt;margin-top:84.9pt;width:101.3pt;height:9.4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" stroked="f">
                <v:textbox style="mso-fit-shape-to-text:t" inset="0,0,0,0">
                  <w:txbxContent>
                    <w:p w:rsidR="00E758BC" w:rsidRPr="006034D8" w:rsidRDefault="00E758BC" w:rsidP="0043778F">
                      <w:pPr>
                        <w:ind w:firstLine="0"/>
                        <w:jc w:val="center"/>
                        <w:rPr>
                          <w:rFonts w:asciiTheme="majorHAnsi" w:hAnsiTheme="majorHAnsi"/>
                          <w:sz w:val="16"/>
                        </w:rPr>
                      </w:pPr>
                      <w:r>
                        <w:rPr>
                          <w:rFonts w:asciiTheme="majorHAnsi" w:hAnsiTheme="majorHAnsi"/>
                          <w:sz w:val="16"/>
                        </w:rPr>
                        <w:t xml:space="preserve">Правильно ли </w:t>
                      </w:r>
                      <w:proofErr w:type="gramStart"/>
                      <w:r>
                        <w:rPr>
                          <w:rFonts w:asciiTheme="majorHAnsi" w:hAnsiTheme="majorHAnsi"/>
                          <w:sz w:val="16"/>
                        </w:rPr>
                        <w:t>установлен</w:t>
                      </w:r>
                      <w:proofErr w:type="gramEnd"/>
                      <w:r>
                        <w:rPr>
                          <w:rFonts w:asciiTheme="majorHAnsi" w:hAnsiTheme="majorHAnsi"/>
                          <w:sz w:val="16"/>
                        </w:rPr>
                        <w:t>?</w:t>
                      </w:r>
                    </w:p>
                  </w:txbxContent>
                </v:textbox>
              </v:shape>
            </w:pict>
          </mc:Fallback>
        </mc:AlternateContent>
      </w:r>
      <w:r>
        <w:rPr>
          <w:rFonts w:asciiTheme="majorHAnsi" w:hAnsiTheme="majorHAnsi"/>
          <w:noProof/>
        </w:rPr>
        <mc:AlternateContent>
          <mc:Choice Requires="wps">
            <w:drawing>
              <wp:anchor distT="0" distB="0" distL="114300" distR="114300" simplePos="0" relativeHeight="251659264" behindDoc="0" locked="0" layoutInCell="1" allowOverlap="1">
                <wp:simplePos x="0" y="0"/>
                <wp:positionH relativeFrom="column">
                  <wp:posOffset>2275749</wp:posOffset>
                </wp:positionH>
                <wp:positionV relativeFrom="paragraph">
                  <wp:posOffset>587375</wp:posOffset>
                </wp:positionV>
                <wp:extent cx="1066800" cy="130628"/>
                <wp:effectExtent l="0" t="0" r="0" b="3175"/>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306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7"/>
                                <w:szCs w:val="17"/>
                                <w:lang w:val="en-US"/>
                              </w:rPr>
                            </w:pPr>
                            <w:r w:rsidRPr="0043778F">
                              <w:rPr>
                                <w:rFonts w:asciiTheme="majorHAnsi" w:hAnsiTheme="majorHAnsi"/>
                                <w:sz w:val="17"/>
                                <w:szCs w:val="17"/>
                              </w:rPr>
                              <w:t>План мероприятий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2" o:spid="_x0000_s1037" type="#_x0000_t202" style="position:absolute;left:0;text-align:left;margin-left:179.2pt;margin-top:46.25pt;width:84pt;height:10.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" stroked="f">
                <v:textbox inset="0,0,0,0">
                  <w:txbxContent>
                    <w:p w:rsidR="00E758BC" w:rsidRPr="0043778F" w:rsidRDefault="00E758BC" w:rsidP="0043778F">
                      <w:pPr>
                        <w:ind w:firstLine="0"/>
                        <w:jc w:val="center"/>
                        <w:rPr>
                          <w:rFonts w:asciiTheme="majorHAnsi" w:hAnsiTheme="majorHAnsi"/>
                          <w:sz w:val="17"/>
                          <w:szCs w:val="17"/>
                          <w:lang w:val="en-US"/>
                        </w:rPr>
                      </w:pPr>
                      <w:r w:rsidRPr="0043778F">
                        <w:rPr>
                          <w:rFonts w:asciiTheme="majorHAnsi" w:hAnsiTheme="majorHAnsi"/>
                          <w:sz w:val="17"/>
                          <w:szCs w:val="17"/>
                        </w:rPr>
                        <w:t>План мероприятий</w:t>
                      </w:r>
                    </w:p>
                  </w:txbxContent>
                </v:textbox>
              </v:shape>
            </w:pict>
          </mc:Fallback>
        </mc:AlternateContent>
      </w:r>
      <w:r>
        <w:rPr>
          <w:rFonts w:asciiTheme="majorHAnsi" w:hAnsiTheme="majorHAnsi"/>
          <w:noProof/>
        </w:rPr>
        <mc:AlternateContent>
          <mc:Choice Requires="wps">
            <w:drawing>
              <wp:anchor distT="0" distB="0" distL="114300" distR="114300" simplePos="0" relativeHeight="251658240" behindDoc="0" locked="0" layoutInCell="1" allowOverlap="1">
                <wp:simplePos x="0" y="0"/>
                <wp:positionH relativeFrom="column">
                  <wp:posOffset>1918970</wp:posOffset>
                </wp:positionH>
                <wp:positionV relativeFrom="paragraph">
                  <wp:posOffset>119743</wp:posOffset>
                </wp:positionV>
                <wp:extent cx="1752600" cy="119380"/>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119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Назначить ответственных лиц</w:t>
                            </w:r>
                          </w:p>
                        </w:txbxContent>
                      </wps:txbx>
                      <wps:bodyPr rot="0" vert="horz" wrap="square" lIns="0" tIns="0" rIns="0" bIns="0" anchor="ctr"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1" o:spid="_x0000_s1038" type="#_x0000_t202" style="position:absolute;left:0;text-align:left;margin-left:151.1pt;margin-top:9.45pt;width:138pt;height:9.4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" stroked="f">
                <v:textbox style="mso-fit-shape-to-text:t" inset="0,0,0,0">
                  <w:txbxContent>
                    <w:p w:rsidR="00E758BC" w:rsidRPr="0043778F" w:rsidRDefault="00E758BC" w:rsidP="0043778F">
                      <w:pPr>
                        <w:ind w:firstLine="0"/>
                        <w:jc w:val="center"/>
                        <w:rPr>
                          <w:rFonts w:asciiTheme="majorHAnsi" w:hAnsiTheme="majorHAnsi"/>
                          <w:sz w:val="18"/>
                          <w:szCs w:val="18"/>
                        </w:rPr>
                      </w:pPr>
                      <w:r w:rsidRPr="0043778F">
                        <w:rPr>
                          <w:rFonts w:asciiTheme="majorHAnsi" w:hAnsiTheme="majorHAnsi"/>
                          <w:sz w:val="18"/>
                          <w:szCs w:val="18"/>
                        </w:rPr>
                        <w:t>Назначить ответственных лиц</w:t>
                      </w:r>
                    </w:p>
                  </w:txbxContent>
                </v:textbox>
              </v:shape>
            </w:pict>
          </mc:Fallback>
        </mc:AlternateContent>
      </w:r>
      <w:r w:rsidRPr="00AD7A6D">
        <w:rPr>
          <w:rFonts w:asciiTheme="majorHAnsi" w:hAnsiTheme="majorHAnsi"/>
          <w:noProof/>
        </w:rPr>
        <w:drawing>
          <wp:inline distT="0" distB="0" distL="0" distR="0" wp14:anchorId="16A6D163" wp14:editId="18BB92C4">
            <wp:extent cx="5715000" cy="4623370"/>
            <wp:effectExtent l="0" t="0" r="0" b="635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715000" cy="4623370"/>
                    </a:xfrm>
                    <a:prstGeom prst="rect">
                      <a:avLst/>
                    </a:prstGeom>
                    <a:noFill/>
                    <a:ln w="9525">
                      <a:noFill/>
                      <a:miter lim="800000"/>
                      <a:headEnd/>
                      <a:tailEnd/>
                    </a:ln>
                  </pic:spPr>
                </pic:pic>
              </a:graphicData>
            </a:graphic>
          </wp:inline>
        </w:drawing>
      </w:r>
    </w:p>
    <w:p w:rsidR="00737F52" w:rsidRPr="0043778F" w:rsidRDefault="0043778F" w:rsidP="004636A8">
      <w:pPr>
        <w:pStyle w:val="Style15"/>
        <w:widowControl/>
        <w:ind w:firstLine="0"/>
        <w:jc w:val="center"/>
        <w:rPr>
          <w:rStyle w:val="FontStyle54"/>
          <w:rFonts w:ascii="Times New Roman" w:hAnsi="Times New Roman" w:cs="Times New Roman"/>
          <w:i/>
          <w:sz w:val="24"/>
          <w:lang w:val="kk-KZ" w:eastAsia="en-US"/>
        </w:rPr>
      </w:pPr>
      <w:r w:rsidRPr="0043778F">
        <w:rPr>
          <w:rStyle w:val="FontStyle54"/>
          <w:rFonts w:ascii="Times New Roman" w:hAnsi="Times New Roman" w:cs="Times New Roman"/>
          <w:i/>
          <w:sz w:val="24"/>
          <w:lang w:val="kk-KZ" w:eastAsia="en-US"/>
        </w:rPr>
        <w:lastRenderedPageBreak/>
        <w:t>Окончание рисунка 1</w:t>
      </w:r>
    </w:p>
    <w:p w:rsidR="00737F52" w:rsidRPr="0043778F" w:rsidRDefault="00737F52" w:rsidP="004636A8">
      <w:pPr>
        <w:pStyle w:val="Style15"/>
        <w:widowControl/>
        <w:ind w:firstLine="0"/>
        <w:jc w:val="center"/>
        <w:rPr>
          <w:rStyle w:val="FontStyle54"/>
          <w:rFonts w:ascii="Times New Roman" w:hAnsi="Times New Roman" w:cs="Times New Roman"/>
          <w:sz w:val="20"/>
          <w:szCs w:val="20"/>
          <w:lang w:val="kk-KZ" w:eastAsia="en-US"/>
        </w:rPr>
      </w:pPr>
    </w:p>
    <w:p w:rsidR="0043778F" w:rsidRPr="0043778F" w:rsidRDefault="0043778F" w:rsidP="0043778F">
      <w:pPr>
        <w:pStyle w:val="Style15"/>
        <w:widowControl/>
        <w:ind w:firstLine="567"/>
        <w:rPr>
          <w:rStyle w:val="FontStyle54"/>
          <w:rFonts w:ascii="Times New Roman" w:hAnsi="Times New Roman" w:cs="Times New Roman"/>
          <w:b/>
          <w:sz w:val="20"/>
          <w:szCs w:val="20"/>
          <w:lang w:val="kk-KZ" w:eastAsia="en-US"/>
        </w:rPr>
      </w:pPr>
      <w:r w:rsidRPr="0043778F">
        <w:rPr>
          <w:rStyle w:val="FontStyle54"/>
          <w:rFonts w:ascii="Times New Roman" w:hAnsi="Times New Roman" w:cs="Times New Roman"/>
          <w:b/>
          <w:sz w:val="20"/>
          <w:szCs w:val="20"/>
          <w:lang w:val="kk-KZ" w:eastAsia="en-US"/>
        </w:rPr>
        <w:t>Условные обозначения</w:t>
      </w:r>
    </w:p>
    <w:p w:rsidR="0043778F" w:rsidRPr="0043778F" w:rsidRDefault="0043778F" w:rsidP="0043778F">
      <w:pPr>
        <w:pStyle w:val="Style15"/>
        <w:widowControl/>
        <w:ind w:firstLine="567"/>
        <w:rPr>
          <w:rStyle w:val="FontStyle54"/>
          <w:rFonts w:ascii="Times New Roman" w:hAnsi="Times New Roman" w:cs="Times New Roman"/>
          <w:sz w:val="20"/>
          <w:szCs w:val="20"/>
          <w:lang w:val="kk-KZ" w:eastAsia="en-US"/>
        </w:rPr>
      </w:pPr>
      <w:r w:rsidRPr="0043778F">
        <w:rPr>
          <w:rStyle w:val="FontStyle54"/>
          <w:rFonts w:ascii="Times New Roman" w:hAnsi="Times New Roman" w:cs="Times New Roman"/>
          <w:sz w:val="20"/>
          <w:szCs w:val="20"/>
          <w:lang w:val="kk-KZ" w:eastAsia="en-US"/>
        </w:rPr>
        <w:t xml:space="preserve">IQ </w:t>
      </w:r>
      <w:r>
        <w:rPr>
          <w:rStyle w:val="FontStyle54"/>
          <w:rFonts w:ascii="Times New Roman" w:hAnsi="Times New Roman" w:cs="Times New Roman"/>
          <w:sz w:val="20"/>
          <w:szCs w:val="20"/>
          <w:lang w:val="kk-KZ" w:eastAsia="en-US"/>
        </w:rPr>
        <w:t>–</w:t>
      </w:r>
      <w:r w:rsidRPr="0043778F">
        <w:rPr>
          <w:rStyle w:val="FontStyle54"/>
          <w:rFonts w:ascii="Times New Roman" w:hAnsi="Times New Roman" w:cs="Times New Roman"/>
          <w:sz w:val="20"/>
          <w:szCs w:val="20"/>
          <w:lang w:val="kk-KZ" w:eastAsia="en-US"/>
        </w:rPr>
        <w:t xml:space="preserve"> у</w:t>
      </w:r>
      <w:r>
        <w:rPr>
          <w:rStyle w:val="FontStyle54"/>
          <w:rFonts w:ascii="Times New Roman" w:hAnsi="Times New Roman" w:cs="Times New Roman"/>
          <w:sz w:val="20"/>
          <w:szCs w:val="20"/>
          <w:lang w:val="kk-KZ" w:eastAsia="en-US"/>
        </w:rPr>
        <w:t>становочная квалификация;</w:t>
      </w:r>
    </w:p>
    <w:p w:rsidR="0043778F" w:rsidRPr="0043778F" w:rsidRDefault="0043778F" w:rsidP="0043778F">
      <w:pPr>
        <w:pStyle w:val="Style15"/>
        <w:widowControl/>
        <w:ind w:firstLine="567"/>
        <w:rPr>
          <w:rStyle w:val="FontStyle54"/>
          <w:rFonts w:ascii="Times New Roman" w:hAnsi="Times New Roman" w:cs="Times New Roman"/>
          <w:sz w:val="20"/>
          <w:szCs w:val="20"/>
          <w:lang w:val="kk-KZ" w:eastAsia="en-US"/>
        </w:rPr>
      </w:pPr>
      <w:r w:rsidRPr="0043778F">
        <w:rPr>
          <w:rStyle w:val="FontStyle54"/>
          <w:rFonts w:ascii="Times New Roman" w:hAnsi="Times New Roman" w:cs="Times New Roman"/>
          <w:sz w:val="20"/>
          <w:szCs w:val="20"/>
          <w:lang w:val="kk-KZ" w:eastAsia="en-US"/>
        </w:rPr>
        <w:t xml:space="preserve">OQ </w:t>
      </w:r>
      <w:r>
        <w:rPr>
          <w:rStyle w:val="FontStyle54"/>
          <w:rFonts w:ascii="Times New Roman" w:hAnsi="Times New Roman" w:cs="Times New Roman"/>
          <w:sz w:val="20"/>
          <w:szCs w:val="20"/>
          <w:lang w:val="kk-KZ" w:eastAsia="en-US"/>
        </w:rPr>
        <w:t>–</w:t>
      </w:r>
      <w:r w:rsidRPr="0043778F">
        <w:rPr>
          <w:rStyle w:val="FontStyle54"/>
          <w:rFonts w:ascii="Times New Roman" w:hAnsi="Times New Roman" w:cs="Times New Roman"/>
          <w:sz w:val="20"/>
          <w:szCs w:val="20"/>
          <w:lang w:val="kk-KZ" w:eastAsia="en-US"/>
        </w:rPr>
        <w:t xml:space="preserve"> операционная квалификация; </w:t>
      </w:r>
    </w:p>
    <w:p w:rsidR="0043778F" w:rsidRDefault="0043778F" w:rsidP="0043778F">
      <w:pPr>
        <w:pStyle w:val="Style15"/>
        <w:widowControl/>
        <w:ind w:firstLine="567"/>
        <w:rPr>
          <w:rStyle w:val="FontStyle54"/>
          <w:rFonts w:ascii="Times New Roman" w:hAnsi="Times New Roman" w:cs="Times New Roman"/>
          <w:sz w:val="20"/>
          <w:szCs w:val="20"/>
          <w:lang w:val="kk-KZ" w:eastAsia="en-US"/>
        </w:rPr>
      </w:pPr>
      <w:r w:rsidRPr="0043778F">
        <w:rPr>
          <w:rStyle w:val="FontStyle54"/>
          <w:rFonts w:ascii="Times New Roman" w:hAnsi="Times New Roman" w:cs="Times New Roman"/>
          <w:sz w:val="20"/>
          <w:szCs w:val="20"/>
          <w:lang w:val="kk-KZ" w:eastAsia="en-US"/>
        </w:rPr>
        <w:t xml:space="preserve">PQ </w:t>
      </w:r>
      <w:r>
        <w:rPr>
          <w:rStyle w:val="FontStyle54"/>
          <w:rFonts w:ascii="Times New Roman" w:hAnsi="Times New Roman" w:cs="Times New Roman"/>
          <w:sz w:val="20"/>
          <w:szCs w:val="20"/>
          <w:lang w:val="kk-KZ" w:eastAsia="en-US"/>
        </w:rPr>
        <w:t xml:space="preserve">– </w:t>
      </w:r>
      <w:r w:rsidRPr="0043778F">
        <w:rPr>
          <w:rStyle w:val="FontStyle54"/>
          <w:rFonts w:ascii="Times New Roman" w:hAnsi="Times New Roman" w:cs="Times New Roman"/>
          <w:sz w:val="20"/>
          <w:szCs w:val="20"/>
          <w:lang w:val="kk-KZ" w:eastAsia="en-US"/>
        </w:rPr>
        <w:t>эксплуатационная квалификация</w:t>
      </w:r>
      <w:r>
        <w:rPr>
          <w:rStyle w:val="FontStyle54"/>
          <w:rFonts w:ascii="Times New Roman" w:hAnsi="Times New Roman" w:cs="Times New Roman"/>
          <w:sz w:val="20"/>
          <w:szCs w:val="20"/>
          <w:lang w:val="kk-KZ" w:eastAsia="en-US"/>
        </w:rPr>
        <w:t>.</w:t>
      </w:r>
    </w:p>
    <w:p w:rsidR="0043778F" w:rsidRDefault="0043778F" w:rsidP="0043778F">
      <w:pPr>
        <w:pStyle w:val="Style15"/>
        <w:widowControl/>
        <w:ind w:firstLine="567"/>
        <w:rPr>
          <w:rStyle w:val="FontStyle54"/>
          <w:rFonts w:ascii="Times New Roman" w:hAnsi="Times New Roman" w:cs="Times New Roman"/>
          <w:sz w:val="20"/>
          <w:szCs w:val="20"/>
          <w:lang w:val="kk-KZ" w:eastAsia="en-US"/>
        </w:rPr>
      </w:pPr>
    </w:p>
    <w:p w:rsidR="0043778F" w:rsidRPr="0043778F" w:rsidRDefault="0043778F" w:rsidP="0043778F">
      <w:pPr>
        <w:pStyle w:val="Style15"/>
        <w:widowControl/>
        <w:ind w:firstLine="0"/>
        <w:jc w:val="center"/>
        <w:rPr>
          <w:rStyle w:val="FontStyle54"/>
          <w:rFonts w:ascii="Times New Roman" w:hAnsi="Times New Roman" w:cs="Times New Roman"/>
          <w:b/>
          <w:sz w:val="24"/>
          <w:lang w:val="kk-KZ" w:eastAsia="en-US"/>
        </w:rPr>
      </w:pPr>
      <w:r w:rsidRPr="0043778F">
        <w:rPr>
          <w:rStyle w:val="FontStyle54"/>
          <w:rFonts w:ascii="Times New Roman" w:hAnsi="Times New Roman" w:cs="Times New Roman"/>
          <w:b/>
          <w:sz w:val="24"/>
          <w:lang w:val="kk-KZ" w:eastAsia="en-US"/>
        </w:rPr>
        <w:t>Рисунок 1 – Пример процесса валидации системы подготовки и распределения раствора</w:t>
      </w:r>
    </w:p>
    <w:p w:rsidR="00737F52" w:rsidRDefault="00737F52" w:rsidP="004636A8">
      <w:pPr>
        <w:pStyle w:val="Style15"/>
        <w:widowControl/>
        <w:ind w:firstLine="0"/>
        <w:jc w:val="center"/>
        <w:rPr>
          <w:rStyle w:val="FontStyle54"/>
          <w:rFonts w:ascii="Times New Roman" w:hAnsi="Times New Roman" w:cs="Times New Roman"/>
          <w:b/>
          <w:sz w:val="24"/>
          <w:lang w:val="kk-KZ" w:eastAsia="en-US"/>
        </w:rPr>
      </w:pPr>
    </w:p>
    <w:p w:rsidR="0043778F" w:rsidRPr="0043778F" w:rsidRDefault="0043778F" w:rsidP="0043778F">
      <w:pPr>
        <w:pStyle w:val="Style15"/>
        <w:widowControl/>
        <w:ind w:firstLine="567"/>
        <w:rPr>
          <w:rStyle w:val="FontStyle54"/>
          <w:rFonts w:ascii="Times New Roman" w:hAnsi="Times New Roman" w:cs="Times New Roman"/>
          <w:b/>
          <w:sz w:val="24"/>
          <w:lang w:val="kk-KZ" w:eastAsia="en-US"/>
        </w:rPr>
      </w:pPr>
      <w:r w:rsidRPr="0043778F">
        <w:rPr>
          <w:rStyle w:val="FontStyle54"/>
          <w:rFonts w:ascii="Times New Roman" w:hAnsi="Times New Roman" w:cs="Times New Roman"/>
          <w:b/>
          <w:sz w:val="24"/>
          <w:lang w:val="kk-KZ" w:eastAsia="en-US"/>
        </w:rPr>
        <w:t>6.2 План валидации</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План валидации должен быть четким и кратким документом, охватывающим следующее:</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описание соответствующих систем, оборудования или процессов;</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текущее состояние этих систем, оборудования или процессов;</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процедуры внесения изменений в системы, оборудование или процессы;</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планирование и составление расписания, включая добавление новых систем, деятельность, обусловленную изменениями, и периодический обзор.</w:t>
      </w:r>
    </w:p>
    <w:p w:rsid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План валидации должен быть утвержден лицом, несущим общую ответственность за диализирующие растворы в отделении диализа.</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p>
    <w:p w:rsidR="0043778F" w:rsidRPr="0043778F" w:rsidRDefault="0043778F" w:rsidP="0043778F">
      <w:pPr>
        <w:pStyle w:val="Style15"/>
        <w:widowControl/>
        <w:ind w:firstLine="567"/>
        <w:rPr>
          <w:rStyle w:val="FontStyle54"/>
          <w:rFonts w:ascii="Times New Roman" w:hAnsi="Times New Roman" w:cs="Times New Roman"/>
          <w:b/>
          <w:sz w:val="24"/>
          <w:lang w:val="kk-KZ" w:eastAsia="en-US"/>
        </w:rPr>
      </w:pPr>
      <w:r w:rsidRPr="0043778F">
        <w:rPr>
          <w:rStyle w:val="FontStyle54"/>
          <w:rFonts w:ascii="Times New Roman" w:hAnsi="Times New Roman" w:cs="Times New Roman"/>
          <w:b/>
          <w:sz w:val="24"/>
          <w:lang w:val="kk-KZ" w:eastAsia="en-US"/>
        </w:rPr>
        <w:t>6.3 Установочая и операционная квалификация</w:t>
      </w:r>
    </w:p>
    <w:p w:rsid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Установочная квалификация определяет и обеспечивает документальное подтверждение того, что система установлена в соответствии с утвержденными планами и техническими требованиями и спецификациями изготовителя. Полная системная документация должна быть доступна по завершении этой процедуры, включая системные блок-схемы и компоновку, журналы регистрации и руководства оператора. Установка должна выполняться квалифицированным персоналом в соответствии с документально подтвержденны</w:t>
      </w:r>
      <w:r>
        <w:rPr>
          <w:rStyle w:val="FontStyle54"/>
          <w:rFonts w:ascii="Times New Roman" w:hAnsi="Times New Roman" w:cs="Times New Roman"/>
          <w:sz w:val="24"/>
          <w:lang w:val="kk-KZ" w:eastAsia="en-US"/>
        </w:rPr>
        <w:t>ми рекомендациями изготовителя.</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Установочная квалификация должна сопровождаться операционная квалификация, которая проверяет правильность работы системы, включая диапазон работы, проверку уставки и блокировки, а также функциональное</w:t>
      </w:r>
      <w:r>
        <w:rPr>
          <w:rStyle w:val="FontStyle54"/>
          <w:rFonts w:ascii="Times New Roman" w:hAnsi="Times New Roman" w:cs="Times New Roman"/>
          <w:sz w:val="24"/>
          <w:lang w:val="kk-KZ" w:eastAsia="en-US"/>
        </w:rPr>
        <w:t xml:space="preserve"> </w:t>
      </w:r>
      <w:r w:rsidRPr="0043778F">
        <w:rPr>
          <w:rStyle w:val="FontStyle54"/>
          <w:rFonts w:ascii="Times New Roman" w:hAnsi="Times New Roman" w:cs="Times New Roman"/>
          <w:sz w:val="24"/>
          <w:lang w:val="kk-KZ" w:eastAsia="en-US"/>
        </w:rPr>
        <w:t>тестирование, и которая сравнивает производительность системы с функциональными характеристиками системы. По завершении этого этапа должна быть доступна следующая информация:</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протоколы испытаний;</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настройка записи;</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график калибровки;</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процедура отбора проб;</w:t>
      </w:r>
    </w:p>
    <w:p w:rsidR="0043778F" w:rsidRP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планы технического обслуживания (например; дезинфекция, замена фильтров) и контроля (например, электропроводность, микробиологический анализ);</w:t>
      </w:r>
    </w:p>
    <w:p w:rsidR="0043778F" w:rsidRDefault="0043778F" w:rsidP="0043778F">
      <w:pPr>
        <w:pStyle w:val="Style15"/>
        <w:widowControl/>
        <w:ind w:firstLine="567"/>
        <w:rPr>
          <w:rStyle w:val="FontStyle54"/>
          <w:rFonts w:ascii="Times New Roman" w:hAnsi="Times New Roman" w:cs="Times New Roman"/>
          <w:sz w:val="24"/>
          <w:lang w:val="kk-KZ" w:eastAsia="en-US"/>
        </w:rPr>
      </w:pPr>
      <w:r w:rsidRPr="0043778F">
        <w:rPr>
          <w:rStyle w:val="FontStyle54"/>
          <w:rFonts w:ascii="Times New Roman" w:hAnsi="Times New Roman" w:cs="Times New Roman"/>
          <w:sz w:val="24"/>
          <w:lang w:val="kk-KZ" w:eastAsia="en-US"/>
        </w:rPr>
        <w:t>- запись обучения оператора(ов).</w:t>
      </w:r>
    </w:p>
    <w:p w:rsidR="00B342F1" w:rsidRDefault="00B342F1" w:rsidP="0043778F">
      <w:pPr>
        <w:pStyle w:val="Style15"/>
        <w:widowControl/>
        <w:ind w:firstLine="567"/>
        <w:rPr>
          <w:rStyle w:val="FontStyle54"/>
          <w:rFonts w:ascii="Times New Roman" w:hAnsi="Times New Roman" w:cs="Times New Roman"/>
          <w:sz w:val="24"/>
          <w:lang w:val="kk-KZ" w:eastAsia="en-US"/>
        </w:rPr>
      </w:pPr>
    </w:p>
    <w:p w:rsidR="00B342F1" w:rsidRPr="00B342F1" w:rsidRDefault="00B342F1" w:rsidP="00B342F1">
      <w:pPr>
        <w:pStyle w:val="Style15"/>
        <w:widowControl/>
        <w:ind w:firstLine="567"/>
        <w:rPr>
          <w:rStyle w:val="FontStyle54"/>
          <w:rFonts w:ascii="Times New Roman" w:hAnsi="Times New Roman" w:cs="Times New Roman"/>
          <w:b/>
          <w:sz w:val="24"/>
          <w:lang w:val="kk-KZ" w:eastAsia="en-US"/>
        </w:rPr>
      </w:pPr>
      <w:r w:rsidRPr="00B342F1">
        <w:rPr>
          <w:rStyle w:val="FontStyle54"/>
          <w:rFonts w:ascii="Times New Roman" w:hAnsi="Times New Roman" w:cs="Times New Roman"/>
          <w:b/>
          <w:sz w:val="24"/>
          <w:lang w:val="kk-KZ" w:eastAsia="en-US"/>
        </w:rPr>
        <w:t>6.4 Эксплуатационная квалификация</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Эксплуатационная квалификация должна демонстрировать согласованность и надежность системы в местных эксплуатационных условиях. На этом этапе необходимо собрать информацию о поведении системы и проанализировать или определить уровни действий. По завершении эксплуатационной квалификации должна быть доступна следующая информация:</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протоколы испытаний;</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химические и микробиологические анализы;</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lastRenderedPageBreak/>
        <w:t>- ключевые показатели эффективности [например, эффективность предварительной обработки, скорость рекуперации/отбраковки обратного осмоса (RO)];</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(начальный) анализ тренда.</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Для вновь установленных систем лицо, несущее общую клиническую ответственность за диализ (возможно, при поддержке технических экспертов), может разрешить использование диализирующего раствора для лечения пациентов после получения химических и микробиологических анализов, которые показывают полное соответствие требованиям к качеству пункта 4, спецификациям изготовителя и любым применимым нормативным требованиям.</w:t>
      </w:r>
    </w:p>
    <w:p w:rsid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В некоторых случаях схематический подход, показанный на рисунке 1, не может быть применен, и одновременная валидация может быть целесообразной, например, после капитального ремонта уже существующей системы. Лицо, несущее общую клиническую ответственность за диализ (при поддержке технических экспертоc), может разрешить использование диализирующего раствора для лечения пациентов при условии проведения и регистрации соответствующей оценки риска.</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p>
    <w:p w:rsidR="00B342F1" w:rsidRPr="00B342F1" w:rsidRDefault="00B342F1" w:rsidP="00B342F1">
      <w:pPr>
        <w:pStyle w:val="Style15"/>
        <w:widowControl/>
        <w:ind w:firstLine="567"/>
        <w:rPr>
          <w:rStyle w:val="FontStyle54"/>
          <w:rFonts w:ascii="Times New Roman" w:hAnsi="Times New Roman" w:cs="Times New Roman"/>
          <w:b/>
          <w:sz w:val="24"/>
          <w:lang w:val="kk-KZ" w:eastAsia="en-US"/>
        </w:rPr>
      </w:pPr>
      <w:r w:rsidRPr="00B342F1">
        <w:rPr>
          <w:rStyle w:val="FontStyle54"/>
          <w:rFonts w:ascii="Times New Roman" w:hAnsi="Times New Roman" w:cs="Times New Roman"/>
          <w:b/>
          <w:sz w:val="24"/>
          <w:lang w:val="kk-KZ" w:eastAsia="en-US"/>
        </w:rPr>
        <w:t>6.5 Плановый контроль и повторная валидация</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В данном пункте описываются контрольные мероприятия, которые должны проводиться в рамках процесса контроля качества и обеспечения качества. В приложении С содержится дополнительная информация о руководящих принципах контроля за оборудованием для водоподготовки, распределительными системами и диализирующим раствором. Руководящие указания по параметрам, которые должны подлежать регулярному контролю, приведены в таблице С.1.</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Плановый контроль должен начинаться после эксплуатационной квалификации (см. п. 6.4) для обеспечения постоянного соответствия требованиям к качеству воды для диализа и диализирующего раствора, изложенным в статье 4. Анализ трендов данных наблюдения должен использоваться для получения расширенной информации о производительности системы, что позволяет применять превентивный, а не реактивный подход к обслуживанию системы.</w:t>
      </w:r>
    </w:p>
    <w:p w:rsid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Наблюдение осуществляется с помощью онлайн- и офлайн-измерений. Оперативное наблюдение за соответствующими параметрами (такими как проводимость) обеспечивает немедленную идентификацию отклонений от нормальных условий эксплуатации и может выявить потенциальные проблемы на их ранних стадиях, а также может вызвать конкретные дополнительные автономные измерения. Основанный исключительно на времени автономный режим отбора проб имеет неотъемлемые ограничения для наблюдения за непрерывным производственным процессом, поскольку между образцами могут возникать отклонения.</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Отбор проб жидкости для микробиологического исследования следует проводить до дезинфекции или не ранее чем через 24 ч после дезинфекции (во избежание ложноотрицательных результатов). Если дезинфекция проводится на следующий день или чаще, образцы должны быть взяты до и как можно ближе к процедуре дезинфекции.</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Образцы для планового микробиологического контроля должны быть получены в максимально короткие сроки до запланированной дезинфекции.</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Повторная валидация должна быть выполнена следующим образом;</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внесение изменений в планы технического обслуживания и контроля;</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модификация системы;</w:t>
      </w:r>
    </w:p>
    <w:p w:rsidR="00B342F1" w:rsidRP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изменение требований к качеству диализирующего раствора.</w:t>
      </w:r>
    </w:p>
    <w:p w:rsidR="00B342F1" w:rsidRDefault="00B342F1" w:rsidP="00B342F1">
      <w:pPr>
        <w:pStyle w:val="Style15"/>
        <w:widowControl/>
        <w:ind w:firstLine="567"/>
        <w:rPr>
          <w:rStyle w:val="FontStyle54"/>
          <w:rFonts w:ascii="Times New Roman" w:hAnsi="Times New Roman" w:cs="Times New Roman"/>
          <w:sz w:val="24"/>
          <w:lang w:val="kk-KZ" w:eastAsia="en-US"/>
        </w:rPr>
      </w:pPr>
      <w:r w:rsidRPr="00B342F1">
        <w:rPr>
          <w:rStyle w:val="FontStyle54"/>
          <w:rFonts w:ascii="Times New Roman" w:hAnsi="Times New Roman" w:cs="Times New Roman"/>
          <w:sz w:val="24"/>
          <w:lang w:val="kk-KZ" w:eastAsia="en-US"/>
        </w:rPr>
        <w:t xml:space="preserve">Даже в отсутствие модификации системы по-прежнему требуется регулярная повторная валидация. Эта повторная валидация состоит из ретроспективной оценки рутинных результатов предыдущего года (никаких дополнительных испытаний для </w:t>
      </w:r>
      <w:r w:rsidRPr="00B342F1">
        <w:rPr>
          <w:rStyle w:val="FontStyle54"/>
          <w:rFonts w:ascii="Times New Roman" w:hAnsi="Times New Roman" w:cs="Times New Roman"/>
          <w:sz w:val="24"/>
          <w:lang w:val="kk-KZ" w:eastAsia="en-US"/>
        </w:rPr>
        <w:lastRenderedPageBreak/>
        <w:t>процесса повторной валидации не требуется). Цель состоит в том, чтобы доказать адекватность плана технического обслуживания и наблюдения в местных условиях эксплуатации. Повторная валидация должна включать отчет, представленный и одобренный лицом, несущим общую клиническую ответственность за диализ.</w:t>
      </w:r>
    </w:p>
    <w:p w:rsidR="00B342F1" w:rsidRDefault="00B342F1" w:rsidP="00B342F1">
      <w:pPr>
        <w:pStyle w:val="Style15"/>
        <w:widowControl/>
        <w:ind w:firstLine="567"/>
        <w:rPr>
          <w:rStyle w:val="FontStyle54"/>
          <w:rFonts w:ascii="Times New Roman" w:hAnsi="Times New Roman" w:cs="Times New Roman"/>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 Менеджмент качества</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7.1 Общие положения</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Процедуры контроля качества и обеспечения качества должны быть установлены для обеспечения постоянного соответствия политике и процедурам, касающимся качества растворов. Этот пункт определяет некоторые из надзорных мероприятий, которые должны проводиться в отделении диализа в рамках процесса обеспечения качества. Методы микробиологического контроля, описанные в 8.3 и таблице 4, призваны служить примерами приемлемых методов. Могут также использоваться другие методы испытаний при условии, что они были надлежащим образом валидированы и сопоставимы с методами, указанными в 8.3 и таблице 4. Частота контроля обычно рекомендуется изготовителем оборудования или местными организациями, осуществляющими надзор за отделениями диализа. В отсутствие рекомендаций изготовителя руководство по испытаниям для включения в программу контроля за обеспечением качества можно найти в приложении С. Это руководство может также использоваться в дополнение к рекомендациям изготовителя.</w:t>
      </w:r>
    </w:p>
    <w:p w:rsid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Основной обязанностью водоканалов является обеспечение внутреннего потребителя водой, отвечающей требованиям национальных или местных правил питьевого водоснабжения. Для удовлетворения таких требований водоканал может внедрять новые методы очистки или дезинфекции без предварительного уведомления конечных потребителей. Хотя воздействие любого такого изменения вряд ли повлияет на внутреннего потребителя, такие изменения могут оказать влияние на поставщиков диализа и пациентов, находящихся на диализе. В связи с этим клиника должна установить надежную связь с поставщиком питательной воды, чтобы поставщик питательной воды знал, что питательная вода используется для производства диализирующего раствора [т. е. для лечения пациентов с терминальной стадией почечной недостаточности (ТПН)], также клиника должна направить запрос, об установлении официальных процедур для поставщика питательной воды, чтобы клинике предоставлялась достоверная и своевременная информация о любом изменении качества поставляемой воды (например, об изменении источника или типа очистки сырой воды), изменении в химических веществах или процедурах, используемых для обеззараживания/дезинфекции, используемых поставщиком питательной воды или изменении в режиме поставки (например, перебои в подаче воды). Если такие процедуры не могут быть установлены, крайне желательно провести дополнительный контроль качества питательной воды для обеспечения максимальной безопасности пациентов.</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7.2 Контроль качества раствора</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7.2.1 Контроль за качеством воды для диализа</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 xml:space="preserve">Качество воды для диализа должно регулярно контролироваться на предмет наличия химических и микробиологических загрязнений, перечисленных в 4.2.2 и 4.2.4. График контроля составляется на основе результатов валидации системы. Для установленной системы водоподготовки, работающей в стабильных условиях,  химические загрязнители в воде для диализа должны контролироваться не реже одного раза в год. </w:t>
      </w:r>
      <w:r w:rsidRPr="00FF3390">
        <w:rPr>
          <w:rStyle w:val="FontStyle54"/>
          <w:rFonts w:ascii="Times New Roman" w:hAnsi="Times New Roman" w:cs="Times New Roman"/>
          <w:sz w:val="24"/>
          <w:lang w:val="kk-KZ" w:eastAsia="en-US"/>
        </w:rPr>
        <w:lastRenderedPageBreak/>
        <w:t>Исключение составляет общий хлор</w:t>
      </w:r>
      <w:r w:rsidRPr="00FF3390">
        <w:rPr>
          <w:rStyle w:val="FontStyle54"/>
          <w:rFonts w:ascii="Times New Roman" w:hAnsi="Times New Roman" w:cs="Times New Roman"/>
          <w:sz w:val="24"/>
          <w:vertAlign w:val="subscript"/>
          <w:lang w:val="kk-KZ" w:eastAsia="en-US"/>
        </w:rPr>
        <w:t>7</w:t>
      </w:r>
      <w:r w:rsidRPr="00FF3390">
        <w:rPr>
          <w:rStyle w:val="FontStyle54"/>
          <w:rFonts w:ascii="Times New Roman" w:hAnsi="Times New Roman" w:cs="Times New Roman"/>
          <w:sz w:val="24"/>
          <w:lang w:val="kk-KZ" w:eastAsia="en-US"/>
        </w:rPr>
        <w:t xml:space="preserve"> который следует контролировать, как описано в 7.3.5.</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Методы контроля химических и микробиологических загрязнений в воде для диализа приведены в ISO 23500-3.</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 xml:space="preserve">Для систем очистки и распределения воды, интегрированных в единую систему и прошедших валидацию для получения воды, отвечающей требованиям качества </w:t>
      </w:r>
      <w:r>
        <w:rPr>
          <w:rStyle w:val="FontStyle54"/>
          <w:rFonts w:ascii="Times New Roman" w:hAnsi="Times New Roman" w:cs="Times New Roman"/>
          <w:sz w:val="24"/>
          <w:lang w:val="kk-KZ" w:eastAsia="en-US"/>
        </w:rPr>
        <w:t xml:space="preserve">                          </w:t>
      </w:r>
      <w:r w:rsidRPr="00FF3390">
        <w:rPr>
          <w:rStyle w:val="FontStyle54"/>
          <w:rFonts w:ascii="Times New Roman" w:hAnsi="Times New Roman" w:cs="Times New Roman"/>
          <w:sz w:val="24"/>
          <w:lang w:val="kk-KZ" w:eastAsia="en-US"/>
        </w:rPr>
        <w:t>ISO 23500-3, рекомендации изготовителя по надзору могут выполняться в течение рекомендованного изготовителем максимального периода использования в соответствии с инструкциями по применению при условии обеспечения гарантии того, что система эксплуатируется в валидированных условиях.</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7.2.2 Контроль качества концентрата</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Пользователи не обязаны испытывать концентраты для подтверждения соответствия требованиям ISO 23500-4 при использовании коммерчески доступных упакованных химических веществ, предназначенных для использования при приготовлении жидких концентратов в отделении диализа, или при использовании коммерчески доступных жидких концентратов, при условии, что концентраты изготовлены в соответствии с требованиями ISO 23500-4. Если пользователь готовит концентрат из необработанных химических веществ, то полученный концентрат должен соответствовать требованиям ISO 23500-4.</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7.2.3 Контроль качества диализирующего раствора</w:t>
      </w:r>
    </w:p>
    <w:p w:rsid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Качество диализирующего раствора должно регулярно контролироваться на предмет микробиологических загрязнений, приведенных в 4.4.2. Методы контроля микробиологических загрязнений в диализирующем растворе описаны в 8.3.</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sz w:val="20"/>
          <w:szCs w:val="20"/>
          <w:lang w:val="kk-KZ" w:eastAsia="en-US"/>
        </w:rPr>
      </w:pPr>
      <w:r w:rsidRPr="00FF3390">
        <w:rPr>
          <w:rStyle w:val="FontStyle54"/>
          <w:rFonts w:ascii="Times New Roman" w:hAnsi="Times New Roman" w:cs="Times New Roman"/>
          <w:sz w:val="20"/>
          <w:szCs w:val="20"/>
          <w:lang w:val="kk-KZ" w:eastAsia="en-US"/>
        </w:rPr>
        <w:t>Примечания</w:t>
      </w:r>
    </w:p>
    <w:p w:rsidR="00FF3390" w:rsidRPr="00FF3390" w:rsidRDefault="00FF3390" w:rsidP="00FF3390">
      <w:pPr>
        <w:pStyle w:val="Style15"/>
        <w:widowControl/>
        <w:ind w:firstLine="567"/>
        <w:rPr>
          <w:rStyle w:val="FontStyle54"/>
          <w:rFonts w:ascii="Times New Roman" w:hAnsi="Times New Roman" w:cs="Times New Roman"/>
          <w:sz w:val="20"/>
          <w:szCs w:val="20"/>
          <w:lang w:val="kk-KZ" w:eastAsia="en-US"/>
        </w:rPr>
      </w:pPr>
      <w:r w:rsidRPr="00FF3390">
        <w:rPr>
          <w:rStyle w:val="FontStyle54"/>
          <w:rFonts w:ascii="Times New Roman" w:hAnsi="Times New Roman" w:cs="Times New Roman"/>
          <w:sz w:val="20"/>
          <w:szCs w:val="20"/>
          <w:lang w:val="kk-KZ" w:eastAsia="en-US"/>
        </w:rPr>
        <w:t>1 Испытания на бактериальный рост и эндотоксины не требуются, если жидкостный тракт аппарата для диализа оснащен соответствующим фильтром для удержания бактерий и эндотоксинов, валидированным изготовителем и эксплуатируемым и контролируемым в соответствии с инструкциями изготовителя, если только изготовитель не требует таких испытаний в инструкции по применению.</w:t>
      </w:r>
    </w:p>
    <w:p w:rsidR="00FF3390" w:rsidRPr="00FF3390" w:rsidRDefault="00FF3390" w:rsidP="00FF3390">
      <w:pPr>
        <w:pStyle w:val="Style15"/>
        <w:widowControl/>
        <w:ind w:firstLine="567"/>
        <w:rPr>
          <w:rStyle w:val="FontStyle54"/>
          <w:rFonts w:ascii="Times New Roman" w:hAnsi="Times New Roman" w:cs="Times New Roman"/>
          <w:sz w:val="20"/>
          <w:szCs w:val="20"/>
          <w:lang w:val="kk-KZ" w:eastAsia="en-US"/>
        </w:rPr>
      </w:pPr>
      <w:r w:rsidRPr="00FF3390">
        <w:rPr>
          <w:rStyle w:val="FontStyle54"/>
          <w:rFonts w:ascii="Times New Roman" w:hAnsi="Times New Roman" w:cs="Times New Roman"/>
          <w:sz w:val="20"/>
          <w:szCs w:val="20"/>
          <w:lang w:val="kk-KZ" w:eastAsia="en-US"/>
        </w:rPr>
        <w:t>2 Невозможно контролировать соответствие микробиологическим требованиям качества для замещающих растворов (см. А. 8).</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p>
    <w:p w:rsid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Поскольку диализирующий раствор готовится из воды для диализа и концентратов, соответствующих требованиям качества ISO 23500-3 и ISO 23500-4 соответственно, и поскольку система распределения воды для диализа и система доставки диализирующего раствора должны быть изготовлены из материалов, которые не вносят химических загрязнений в воду, рутинный контроль химических загрязнений в диализирующем растворе не требуется.</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 Контроль за оборудованием для водоподготовки</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7.3.1 Общие положения</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Краткое описание отдельных устройств для водоподготовки приводится в приложении В, а приложения С и G содержат дополнительную информацию в отношении руководства по контролю за оборудованием для водоподготовки, распределительными системами и диализирующим раствором.</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7.3.2 Контроль за осадочными фильтрами</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 xml:space="preserve">Не существует простого испытания для определения эффективности осадочного фильтра; однако падение давления (ΔР) на фильтре может быть использовано для определения того, когда фильтр удерживает столько твердые частицы, что больше не может пропускать необходимый поток воды без чрезмерного снижения давления на </w:t>
      </w:r>
      <w:r w:rsidRPr="00FF3390">
        <w:rPr>
          <w:rStyle w:val="FontStyle54"/>
          <w:rFonts w:ascii="Times New Roman" w:hAnsi="Times New Roman" w:cs="Times New Roman"/>
          <w:sz w:val="24"/>
          <w:lang w:val="kk-KZ" w:eastAsia="en-US"/>
        </w:rPr>
        <w:lastRenderedPageBreak/>
        <w:t>выходе. Цикл обратной промывки используется в качестве превентивной меры для удаления твердых частиц из осадочного фильтра и предотвращения развития чрезмерного перепада давления. Частота обратной промывки должна соответствовать рекомендациям изготовителя. Контроль за осадочным фильтром должен включать проверку того, что таймер, используемый для запуска циклов обратной промывки, установлен на правильное время суток. Для записи измерений перепада давления и проверки таймера следует разработать журнал регистрации.</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7.3.3 Контроль за картриджными фильтрами</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Картриджные фильтры должны регулярно контролироваться. Не существует простого испытания для определения эффективности картриджного фильтра; однако падение давления (АР) на фильтре может быть использовано для определения того, когда фильтр удерживает столько твердые частицы, что больше не может пропускать необходимый поток воды без чрезмерного снижения давления на выходе. Заметное уменьшение АР без соответствующего уменьшения расхода может указывать на потерю эффективности фильтра. Картриджи обычно заменяются, когда АР увеличивается до или выше заданного значения или через заданный интервал времени. Для записи измерений перепада давления следует разработать журнал регистрации.</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7.3.4 Контроль за умягчителями</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Наблюдение за умягчителями состоит в следующем: проверка умягченной воды на остаточную жесткость; для автоматически регенерируемых умягчителей -проверка того, что емкость для солевого раствора содержит достаточный запас нерастворенного хлорида натрия; а для умягчителей с контролем времени -проверка того, что таймер указывает правильное время суток. Периодичность наблюдения должна основываться на жесткости питательной воды и мощности умягчителя. При использовании обратного осмоса необходимо следить за тем, чтобы не были превышены пределы жесткости, установленные для мембраны обратного осмоса. Временное повышение твердости будет иметь минимальное влияние на производительность системы обратного осмоса, так как кальций и магний удаляются обратным осмосом.</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Испытание на твердость следует проводить с помощью титровального теста этилендиамиктетрауксусной кислоты (ЭДТА) с тест-полосками «dip and read» (окунуть и считать результат) или аналогичным методом. Также доступны онлайн-мониторы твердости. Если используется онлайн-монитор, он должен использоваться и обслуживаться в соответствии с инструкциями изготовителя. Независимо от выбранного метода, пользователи должны убедиться, что точность и чувствительность испытаний достаточны для удовлетворения требований изготовителя системы обратного осмоса по контролю твердости при использовании умягчителя в качестве предварительной обработки системы обратного осмоса.</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При использовании умягчителей с таймером рекомендуется измерять жесткость воды, выходящей из умягчителя, как можно ближе к концу рабочего цикла. Испытание на твердость в конце рабочего цикла покажет общую эффективность умягчителя воды в наихудших условиях и обеспечит надлежащий размер умягчителя и адекватный график регенерации. Таймеры следует проверять в начале каждого дня. Для дуплексных умягчителей с регулируемым объемом испытания на твердость можно проводить в любое время суток.</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 xml:space="preserve">Емкость для солевого раствора умягчителя следует регулярно контролировать, чтобы убедиться в наличии достаточного количества соли в емкости для солевого раствора, чтобы сформировать насыщенный солевой раствор достаточного объема как минимум для одного цикла регенерации. Соль, используемая для регенерации, должна соответствовать техническим требованиям изготовителя умягчителя. В частности, соль, обозначенная как каменная соль, не должна использоваться для регенерации умягчителя, </w:t>
      </w:r>
      <w:r w:rsidRPr="00FF3390">
        <w:rPr>
          <w:rStyle w:val="FontStyle54"/>
          <w:rFonts w:ascii="Times New Roman" w:hAnsi="Times New Roman" w:cs="Times New Roman"/>
          <w:sz w:val="24"/>
          <w:lang w:val="kk-KZ" w:eastAsia="en-US"/>
        </w:rPr>
        <w:lastRenderedPageBreak/>
        <w:t>поскольку она не очищена и обычно содержит осадки и другие примеси, которые могут повредить уплотнительные кольца и поршни и закупорить отверстия в управляющей головке умягчителя. Периодичность контроля должна основываться на продолжительности рабочего цикла.</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Умягчители воды должны быть снабжены механизмом предотвращения попадания воды; содержащей высокие концентрации хлорида натрия, используемого при регенерации, в линию очищенной воды во время регенерации.</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Результаты испытаний на жесткость воды, проверка настроек таймера и оценка достаточного количества солевых гранул в соответствии с инструкциями изготовителя должны быть записаны в журнал</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7.3.5 Контроль за углеродными средами</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Если хлор не используется в питательной воде, производительность углеродного слоя контролируется путем измерения перепада давления через углеродный слой и по времени использования.</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 xml:space="preserve">Если в питательной воде используется хлор, то производительность углеродных слоев контролируется путем измерения общей концентрации хлора в воде, выходящей из углеродного слоя, или выходящей из первого углеродного слоя, когда используется последовательно соединенная пара слоев. Общий уровень хлора не должен превышать </w:t>
      </w:r>
      <w:r>
        <w:rPr>
          <w:rStyle w:val="FontStyle54"/>
          <w:rFonts w:ascii="Times New Roman" w:hAnsi="Times New Roman" w:cs="Times New Roman"/>
          <w:sz w:val="24"/>
          <w:lang w:val="kk-KZ" w:eastAsia="en-US"/>
        </w:rPr>
        <w:t xml:space="preserve">                                </w:t>
      </w:r>
      <w:r w:rsidRPr="00FF3390">
        <w:rPr>
          <w:rStyle w:val="FontStyle54"/>
          <w:rFonts w:ascii="Times New Roman" w:hAnsi="Times New Roman" w:cs="Times New Roman"/>
          <w:sz w:val="24"/>
          <w:lang w:val="kk-KZ" w:eastAsia="en-US"/>
        </w:rPr>
        <w:t>0,1 мг/л. </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Тестирование общего хлора может быть выполнено с помощью тест-наборов на основе N.N-диэтил-п-фенилендиамина (DPD), тест-полосок «dip-and-read» на основе тиокетона Михлера (МТК или ТМК) или других методов, где можно продемонстрировать сопоставимую чувствительность и специфичность. Онлайн-мониторы также можно использовать для измерения общей концентрации хлора. Если используется онлайн-монитор, он должен использоваться и обслуживаться в соответствии с инструкциями изготовителя. Какая бы тестовая система ни использовалась, она должна обладать достаточной чувствительностью и специфичностью для разрешения максимальных уровней, описанных в пункте 4.2.2 (см. таблицу 1).</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При использовании автономных тестов анализ на содержание общего хлора следует проводить в начале каждого дня лечения до начала лечения пациента. В тех случаях, когда хлорамин используется для обеззараживания питьевой воды на уровне 1 мг/л или более, тестирование следует повторять до начала каждой смены пациента; если нет установленных смен пациента, тестирование следует проводить примерно каждые 4 ч во время работы. Более частый контроль может быть уместен во время временной эксплуатации с одним углеродным слоем, что может произойти после прорыва первого слоя. В таких случаях испытания проводятся на воде; выходящей из второго слоя углерода в последовательно соединенной паре. Решение об изменении частоты контроля должно основываться на прошлых результатах работы системы и на том. произошли ли изменения в качестве питательной воды. Система должна быть промыта в течение достаточного периода времени, чтобы убедиться, что отобранная вода является репрезентативной для воды, используемой для очистки. Достаточная промывка необходима для обеспечения того, чтобы отобранная вода не оставалась в системе удаления между обработками, так что она будет представлять собой недостаточный уровень хлорамина, который будет подаваться во время нормальной работы. Минимальное время промывки должно составлять 15 минут, если иное не предписано изготовителем оборудования. Анализ должен проводиться на месте, так как общий уровень хлора будет снижаться, если образец не будет проанализирован быстро.</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Результаты наблюдения должны быть занесены в журнал наблюдений.</w:t>
      </w:r>
    </w:p>
    <w:p w:rsidR="00FF3390" w:rsidRDefault="00FF3390" w:rsidP="00FF3390">
      <w:pPr>
        <w:pStyle w:val="Style15"/>
        <w:widowControl/>
        <w:ind w:firstLine="567"/>
        <w:rPr>
          <w:rStyle w:val="FontStyle54"/>
          <w:rFonts w:ascii="Times New Roman" w:hAnsi="Times New Roman" w:cs="Times New Roman"/>
          <w:b/>
          <w:sz w:val="24"/>
          <w:lang w:val="kk-KZ" w:eastAsia="en-US"/>
        </w:rPr>
      </w:pPr>
    </w:p>
    <w:p w:rsidR="00FF3390" w:rsidRDefault="00FF3390" w:rsidP="00FF3390">
      <w:pPr>
        <w:pStyle w:val="Style15"/>
        <w:widowControl/>
        <w:ind w:firstLine="567"/>
        <w:rPr>
          <w:rStyle w:val="FontStyle54"/>
          <w:rFonts w:ascii="Times New Roman" w:hAnsi="Times New Roman" w:cs="Times New Roman"/>
          <w:b/>
          <w:sz w:val="24"/>
          <w:lang w:val="kk-KZ" w:eastAsia="en-US"/>
        </w:rPr>
      </w:pP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lastRenderedPageBreak/>
        <w:t>7.3.6 Контроль за системами впрыска химических веществ</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Системы для впрыска химических веществ должны контролироваться в соответствии с инструкциями изготовителя. Если предприятие проектирует свою собственную систему впрыска химических веществ, то должны быть разработаны процедуры, обеспечивающие надлежащую подготовку химического вещества, надлежащее смешивание впрыскиваемого химического вещества с водой, протекающей через каскад предварительной обработки, и снижение до безопасного уровня концентрации любых химических остатков до места использования. Отделение должно также убедиться в том, что впрыскиваемое химическое вещество не ухудшает работу нижестоящих устройств, таких как система обратного осмоса. Проверка может быть выполнена путем испытания образцов из химического резервуара и водопровода после точки впрыска не менее чем для трех партий химического вещества.</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Когда вводимое химическое вещество готовится на установке из порошка или путем разбавления жидкого концентрата, емкость для впрыска химического вещества должен быть маркирован названием химического вещества и его концентрацией, датой приготовления раствора и именем лица, которое смешивало раствор. Каждая партия химического вещества должна быть проверена на правильность рецептуры перед использованием. Партия химического вещества не должна использоваться или передаваться в емкость системы впрыска до завершения всех испытаний. Результаты испытаний и проверка их соответствия всем применимым критериям должны регистрироваться и подписываться обученным персоналом, проводящим испытания.</w:t>
      </w:r>
    </w:p>
    <w:p w:rsidR="00FF3390" w:rsidRP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При подготовке химических веществ для инъекций в отделении диализа должна быть обеспечена защитная одежда и соответствующая окружающая среда, включая вентиляцию, достаточную для соблюдения применимых пределов воздействия на окружающую среду, а также национальных стандартов или правил.</w:t>
      </w:r>
    </w:p>
    <w:p w:rsidR="00FF3390" w:rsidRPr="00FF3390" w:rsidRDefault="00FF3390" w:rsidP="00FF3390">
      <w:pPr>
        <w:pStyle w:val="Style15"/>
        <w:widowControl/>
        <w:ind w:firstLine="567"/>
        <w:rPr>
          <w:rStyle w:val="FontStyle54"/>
          <w:rFonts w:ascii="Times New Roman" w:hAnsi="Times New Roman" w:cs="Times New Roman"/>
          <w:b/>
          <w:sz w:val="24"/>
          <w:lang w:val="kk-KZ" w:eastAsia="en-US"/>
        </w:rPr>
      </w:pPr>
      <w:r w:rsidRPr="00FF3390">
        <w:rPr>
          <w:rStyle w:val="FontStyle54"/>
          <w:rFonts w:ascii="Times New Roman" w:hAnsi="Times New Roman" w:cs="Times New Roman"/>
          <w:b/>
          <w:sz w:val="24"/>
          <w:lang w:val="kk-KZ" w:eastAsia="en-US"/>
        </w:rPr>
        <w:t>7.3.7 Контроль за обратным осмосом</w:t>
      </w:r>
    </w:p>
    <w:p w:rsidR="00FF3390" w:rsidRDefault="00FF3390" w:rsidP="00FF3390">
      <w:pPr>
        <w:pStyle w:val="Style15"/>
        <w:widowControl/>
        <w:ind w:firstLine="567"/>
        <w:rPr>
          <w:rStyle w:val="FontStyle54"/>
          <w:rFonts w:ascii="Times New Roman" w:hAnsi="Times New Roman" w:cs="Times New Roman"/>
          <w:sz w:val="24"/>
          <w:lang w:val="kk-KZ" w:eastAsia="en-US"/>
        </w:rPr>
      </w:pPr>
      <w:r w:rsidRPr="00FF3390">
        <w:rPr>
          <w:rStyle w:val="FontStyle54"/>
          <w:rFonts w:ascii="Times New Roman" w:hAnsi="Times New Roman" w:cs="Times New Roman"/>
          <w:sz w:val="24"/>
          <w:lang w:val="kk-KZ" w:eastAsia="en-US"/>
        </w:rPr>
        <w:t xml:space="preserve">Системы обратного осмоса должны контролироваться с помощью непрерывно считывающих мониторов, которые измеряют проводимость очищенной воды [иногда отображается как общее содержание растворенных твердых веществ (TDS)]. Эти измерения могут быть использованы для расчета отбраковки растворенных веществ мембраной обратного осмоса и измерения производительности оборудования. Процент отбраковки рассчитывается по </w:t>
      </w:r>
      <w:r>
        <w:rPr>
          <w:rStyle w:val="FontStyle54"/>
          <w:rFonts w:ascii="Times New Roman" w:hAnsi="Times New Roman" w:cs="Times New Roman"/>
          <w:sz w:val="24"/>
          <w:lang w:val="kk-KZ" w:eastAsia="en-US"/>
        </w:rPr>
        <w:t>формуле (</w:t>
      </w:r>
      <w:r w:rsidRPr="00FF3390">
        <w:rPr>
          <w:rStyle w:val="FontStyle54"/>
          <w:rFonts w:ascii="Times New Roman" w:hAnsi="Times New Roman" w:cs="Times New Roman"/>
          <w:sz w:val="24"/>
          <w:lang w:eastAsia="en-US"/>
        </w:rPr>
        <w:t>1</w:t>
      </w:r>
      <w:r w:rsidRPr="00FF3390">
        <w:rPr>
          <w:rStyle w:val="FontStyle54"/>
          <w:rFonts w:ascii="Times New Roman" w:hAnsi="Times New Roman" w:cs="Times New Roman"/>
          <w:sz w:val="24"/>
          <w:lang w:val="kk-KZ" w:eastAsia="en-US"/>
        </w:rPr>
        <w:t>):</w:t>
      </w:r>
    </w:p>
    <w:p w:rsidR="00B342F1" w:rsidRDefault="00B342F1" w:rsidP="00B342F1">
      <w:pPr>
        <w:pStyle w:val="Style15"/>
        <w:widowControl/>
        <w:ind w:firstLine="567"/>
        <w:rPr>
          <w:rStyle w:val="FontStyle54"/>
          <w:rFonts w:ascii="Times New Roman" w:hAnsi="Times New Roman" w:cs="Times New Roman"/>
          <w:sz w:val="24"/>
          <w:lang w:val="en-US" w:eastAsia="en-US"/>
        </w:rPr>
      </w:pPr>
    </w:p>
    <w:p w:rsidR="00FF3390" w:rsidRPr="002F1F96" w:rsidRDefault="00FF3390" w:rsidP="002F1F96">
      <w:pPr>
        <w:pStyle w:val="Style15"/>
        <w:widowControl/>
        <w:ind w:firstLine="0"/>
        <w:jc w:val="right"/>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eastAsia="en-US"/>
        </w:rPr>
        <w:t xml:space="preserve">Отбраковка (%) = </w:t>
      </w:r>
      <m:oMath>
        <m:f>
          <m:fPr>
            <m:ctrlPr>
              <w:rPr>
                <w:rStyle w:val="FontStyle54"/>
                <w:rFonts w:ascii="Cambria Math" w:hAnsi="Cambria Math" w:cs="Times New Roman"/>
                <w:i/>
                <w:sz w:val="24"/>
                <w:lang w:val="en-US" w:eastAsia="en-US"/>
              </w:rPr>
            </m:ctrlPr>
          </m:fPr>
          <m:num>
            <m:sSub>
              <m:sSubPr>
                <m:ctrlPr>
                  <w:rPr>
                    <w:rStyle w:val="FontStyle54"/>
                    <w:rFonts w:ascii="Cambria Math" w:hAnsi="Cambria Math" w:cs="Times New Roman"/>
                    <w:i/>
                    <w:sz w:val="24"/>
                    <w:lang w:val="en-US" w:eastAsia="en-US"/>
                  </w:rPr>
                </m:ctrlPr>
              </m:sSubPr>
              <m:e>
                <m:r>
                  <w:rPr>
                    <w:rStyle w:val="FontStyle54"/>
                    <w:rFonts w:ascii="Cambria Math" w:hAnsi="Cambria Math" w:cs="Times New Roman"/>
                    <w:sz w:val="24"/>
                    <w:lang w:val="en-US" w:eastAsia="en-US"/>
                  </w:rPr>
                  <m:t>σ</m:t>
                </m:r>
              </m:e>
              <m:sub>
                <m:r>
                  <w:rPr>
                    <w:rStyle w:val="FontStyle54"/>
                    <w:rFonts w:ascii="Cambria Math" w:hAnsi="Cambria Math" w:cs="Times New Roman"/>
                    <w:sz w:val="24"/>
                    <w:lang w:val="en-US" w:eastAsia="en-US"/>
                  </w:rPr>
                  <m:t>F</m:t>
                </m:r>
              </m:sub>
            </m:sSub>
            <m:r>
              <w:rPr>
                <w:rStyle w:val="FontStyle54"/>
                <w:rFonts w:ascii="Cambria Math" w:hAnsi="Cambria Math" w:cs="Times New Roman"/>
                <w:sz w:val="24"/>
                <w:lang w:eastAsia="en-US"/>
              </w:rPr>
              <m:t>-</m:t>
            </m:r>
            <m:sSub>
              <m:sSubPr>
                <m:ctrlPr>
                  <w:rPr>
                    <w:rStyle w:val="FontStyle54"/>
                    <w:rFonts w:ascii="Cambria Math" w:hAnsi="Cambria Math" w:cs="Times New Roman"/>
                    <w:i/>
                    <w:sz w:val="24"/>
                    <w:lang w:val="en-US" w:eastAsia="en-US"/>
                  </w:rPr>
                </m:ctrlPr>
              </m:sSubPr>
              <m:e>
                <m:r>
                  <w:rPr>
                    <w:rStyle w:val="FontStyle54"/>
                    <w:rFonts w:ascii="Cambria Math" w:hAnsi="Cambria Math" w:cs="Times New Roman"/>
                    <w:sz w:val="24"/>
                    <w:lang w:val="en-US" w:eastAsia="en-US"/>
                  </w:rPr>
                  <m:t>σ</m:t>
                </m:r>
              </m:e>
              <m:sub>
                <m:r>
                  <w:rPr>
                    <w:rStyle w:val="FontStyle54"/>
                    <w:rFonts w:ascii="Cambria Math" w:hAnsi="Cambria Math" w:cs="Times New Roman"/>
                    <w:sz w:val="24"/>
                    <w:lang w:val="en-US" w:eastAsia="en-US"/>
                  </w:rPr>
                  <m:t>P</m:t>
                </m:r>
              </m:sub>
            </m:sSub>
          </m:num>
          <m:den>
            <m:sSub>
              <m:sSubPr>
                <m:ctrlPr>
                  <w:rPr>
                    <w:rStyle w:val="FontStyle54"/>
                    <w:rFonts w:ascii="Cambria Math" w:hAnsi="Cambria Math" w:cs="Times New Roman"/>
                    <w:i/>
                    <w:sz w:val="24"/>
                    <w:lang w:val="en-US" w:eastAsia="en-US"/>
                  </w:rPr>
                </m:ctrlPr>
              </m:sSubPr>
              <m:e>
                <m:r>
                  <w:rPr>
                    <w:rStyle w:val="FontStyle54"/>
                    <w:rFonts w:ascii="Cambria Math" w:hAnsi="Cambria Math" w:cs="Times New Roman"/>
                    <w:sz w:val="24"/>
                    <w:lang w:val="en-US" w:eastAsia="en-US"/>
                  </w:rPr>
                  <m:t>O</m:t>
                </m:r>
              </m:e>
              <m:sub>
                <m:r>
                  <w:rPr>
                    <w:rStyle w:val="FontStyle54"/>
                    <w:rFonts w:ascii="Cambria Math" w:hAnsi="Cambria Math" w:cs="Times New Roman"/>
                    <w:sz w:val="24"/>
                    <w:lang w:val="en-US" w:eastAsia="en-US"/>
                  </w:rPr>
                  <m:t>F</m:t>
                </m:r>
              </m:sub>
            </m:sSub>
          </m:den>
        </m:f>
        <m:r>
          <w:rPr>
            <w:rStyle w:val="FontStyle54"/>
            <w:rFonts w:ascii="Cambria Math" w:hAnsi="Cambria Math" w:cs="Times New Roman"/>
            <w:sz w:val="24"/>
            <w:lang w:eastAsia="en-US"/>
          </w:rPr>
          <m:t>×100</m:t>
        </m:r>
      </m:oMath>
      <w:r w:rsidR="002F1F96" w:rsidRPr="002F1F96">
        <w:rPr>
          <w:rStyle w:val="FontStyle54"/>
          <w:rFonts w:ascii="Times New Roman" w:hAnsi="Times New Roman" w:cs="Times New Roman"/>
          <w:sz w:val="24"/>
          <w:lang w:eastAsia="en-US"/>
        </w:rPr>
        <w:t xml:space="preserve">                </w:t>
      </w:r>
      <w:r w:rsidR="002F1F96">
        <w:rPr>
          <w:rStyle w:val="FontStyle54"/>
          <w:rFonts w:ascii="Times New Roman" w:hAnsi="Times New Roman" w:cs="Times New Roman"/>
          <w:sz w:val="24"/>
          <w:lang w:eastAsia="en-US"/>
        </w:rPr>
        <w:t xml:space="preserve">                              </w:t>
      </w:r>
      <w:r w:rsidR="002F1F96" w:rsidRPr="002F1F96">
        <w:rPr>
          <w:rStyle w:val="FontStyle54"/>
          <w:rFonts w:ascii="Times New Roman" w:hAnsi="Times New Roman" w:cs="Times New Roman"/>
          <w:sz w:val="24"/>
          <w:lang w:eastAsia="en-US"/>
        </w:rPr>
        <w:t xml:space="preserve"> (1)</w:t>
      </w:r>
    </w:p>
    <w:p w:rsidR="00FF3390" w:rsidRPr="002F1F96" w:rsidRDefault="00FF3390" w:rsidP="00FF3390">
      <w:pPr>
        <w:pStyle w:val="Style15"/>
        <w:widowControl/>
        <w:ind w:firstLine="0"/>
        <w:jc w:val="center"/>
        <w:rPr>
          <w:rStyle w:val="FontStyle54"/>
          <w:rFonts w:ascii="Times New Roman" w:hAnsi="Times New Roman" w:cs="Times New Roman"/>
          <w:sz w:val="24"/>
          <w:lang w:eastAsia="en-US"/>
        </w:rPr>
      </w:pPr>
    </w:p>
    <w:p w:rsidR="002F1F96" w:rsidRPr="002F1F96" w:rsidRDefault="002F1F96" w:rsidP="002F1F96">
      <w:pPr>
        <w:pStyle w:val="Style15"/>
        <w:widowControl/>
        <w:ind w:firstLine="567"/>
        <w:rPr>
          <w:rStyle w:val="FontStyle54"/>
          <w:rFonts w:ascii="Times New Roman" w:hAnsi="Times New Roman" w:cs="Times New Roman"/>
          <w:sz w:val="24"/>
          <w:lang w:eastAsia="en-US"/>
        </w:rPr>
      </w:pPr>
      <w:r>
        <w:rPr>
          <w:rStyle w:val="FontStyle54"/>
          <w:rFonts w:ascii="Times New Roman" w:hAnsi="Times New Roman" w:cs="Times New Roman"/>
          <w:sz w:val="24"/>
          <w:lang w:eastAsia="en-US"/>
        </w:rPr>
        <w:t xml:space="preserve">где </w:t>
      </w:r>
      <w:r w:rsidRPr="002F1F96">
        <w:rPr>
          <w:rStyle w:val="FontStyle54"/>
          <w:rFonts w:ascii="Times New Roman" w:hAnsi="Times New Roman" w:cs="Times New Roman"/>
          <w:sz w:val="24"/>
          <w:lang w:val="en-US" w:eastAsia="en-US"/>
        </w:rPr>
        <w:t>σ</w:t>
      </w:r>
      <w:r w:rsidRPr="002F1F96">
        <w:rPr>
          <w:rStyle w:val="FontStyle54"/>
          <w:rFonts w:ascii="Times New Roman" w:hAnsi="Times New Roman" w:cs="Times New Roman"/>
          <w:sz w:val="24"/>
          <w:vertAlign w:val="subscript"/>
          <w:lang w:val="en-US" w:eastAsia="en-US"/>
        </w:rPr>
        <w:t>F</w:t>
      </w:r>
      <w:r w:rsidRPr="002F1F96">
        <w:rPr>
          <w:rStyle w:val="FontStyle54"/>
          <w:rFonts w:ascii="Times New Roman" w:hAnsi="Times New Roman" w:cs="Times New Roman"/>
          <w:sz w:val="24"/>
          <w:lang w:eastAsia="en-US"/>
        </w:rPr>
        <w:t xml:space="preserve"> - </w:t>
      </w:r>
      <w:r>
        <w:rPr>
          <w:rStyle w:val="FontStyle54"/>
          <w:rFonts w:ascii="Times New Roman" w:hAnsi="Times New Roman" w:cs="Times New Roman"/>
          <w:sz w:val="24"/>
          <w:lang w:eastAsia="en-US"/>
        </w:rPr>
        <w:t>проводимость питательной воды (</w:t>
      </w:r>
      <w:proofErr w:type="gramStart"/>
      <w:r>
        <w:rPr>
          <w:rStyle w:val="FontStyle54"/>
          <w:rFonts w:ascii="Times New Roman" w:hAnsi="Times New Roman" w:cs="Times New Roman"/>
          <w:sz w:val="24"/>
          <w:lang w:val="en-US" w:eastAsia="en-US"/>
        </w:rPr>
        <w:t>c</w:t>
      </w:r>
      <w:proofErr w:type="gramEnd"/>
      <w:r w:rsidRPr="002F1F96">
        <w:rPr>
          <w:rStyle w:val="FontStyle54"/>
          <w:rFonts w:ascii="Times New Roman" w:hAnsi="Times New Roman" w:cs="Times New Roman"/>
          <w:sz w:val="24"/>
          <w:lang w:eastAsia="en-US"/>
        </w:rPr>
        <w:t xml:space="preserve">м/м); </w:t>
      </w:r>
    </w:p>
    <w:p w:rsidR="002F1F96" w:rsidRPr="002F1F96" w:rsidRDefault="002F1F96" w:rsidP="002F1F96">
      <w:pPr>
        <w:pStyle w:val="Style15"/>
        <w:widowControl/>
        <w:ind w:firstLine="567"/>
        <w:rPr>
          <w:rStyle w:val="FontStyle54"/>
          <w:rFonts w:ascii="Times New Roman" w:hAnsi="Times New Roman" w:cs="Times New Roman"/>
          <w:sz w:val="24"/>
          <w:lang w:eastAsia="en-US"/>
        </w:rPr>
      </w:pPr>
      <w:proofErr w:type="gramStart"/>
      <w:r w:rsidRPr="002F1F96">
        <w:rPr>
          <w:rStyle w:val="FontStyle54"/>
          <w:rFonts w:ascii="Times New Roman" w:hAnsi="Times New Roman" w:cs="Times New Roman"/>
          <w:sz w:val="24"/>
          <w:lang w:val="en-US" w:eastAsia="en-US"/>
        </w:rPr>
        <w:t>σ</w:t>
      </w:r>
      <w:r w:rsidRPr="002F1F96">
        <w:rPr>
          <w:rStyle w:val="FontStyle54"/>
          <w:rFonts w:ascii="Times New Roman" w:hAnsi="Times New Roman" w:cs="Times New Roman"/>
          <w:sz w:val="24"/>
          <w:vertAlign w:val="subscript"/>
          <w:lang w:val="en-US" w:eastAsia="en-US"/>
        </w:rPr>
        <w:t>P</w:t>
      </w:r>
      <w:proofErr w:type="gramEnd"/>
      <w:r w:rsidRPr="002F1F96">
        <w:rPr>
          <w:rStyle w:val="FontStyle54"/>
          <w:rFonts w:ascii="Times New Roman" w:hAnsi="Times New Roman" w:cs="Times New Roman"/>
          <w:sz w:val="24"/>
          <w:lang w:eastAsia="en-US"/>
        </w:rPr>
        <w:t xml:space="preserve"> - проводимость пермеата (</w:t>
      </w:r>
      <w:r>
        <w:rPr>
          <w:rStyle w:val="FontStyle54"/>
          <w:rFonts w:ascii="Times New Roman" w:hAnsi="Times New Roman" w:cs="Times New Roman"/>
          <w:sz w:val="24"/>
          <w:lang w:val="en-US" w:eastAsia="en-US"/>
        </w:rPr>
        <w:t>c</w:t>
      </w:r>
      <w:r>
        <w:rPr>
          <w:rStyle w:val="FontStyle54"/>
          <w:rFonts w:ascii="Times New Roman" w:hAnsi="Times New Roman" w:cs="Times New Roman"/>
          <w:sz w:val="24"/>
          <w:lang w:eastAsia="en-US"/>
        </w:rPr>
        <w:t>м/м)</w:t>
      </w:r>
      <w:r w:rsidRPr="002F1F96">
        <w:rPr>
          <w:rStyle w:val="FontStyle54"/>
          <w:rFonts w:ascii="Times New Roman" w:hAnsi="Times New Roman" w:cs="Times New Roman"/>
          <w:sz w:val="24"/>
          <w:lang w:eastAsia="en-US"/>
        </w:rPr>
        <w:t>.</w:t>
      </w:r>
    </w:p>
    <w:p w:rsidR="002F1F96" w:rsidRPr="002F1F96" w:rsidRDefault="002F1F96" w:rsidP="002F1F96">
      <w:pPr>
        <w:pStyle w:val="Style15"/>
        <w:widowControl/>
        <w:ind w:firstLine="567"/>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eastAsia="en-US"/>
        </w:rPr>
        <w:t>Многие системы обратного осмоса имеют прямое считывание процента отбраковки.</w:t>
      </w:r>
    </w:p>
    <w:p w:rsidR="002F1F96" w:rsidRDefault="002F1F96" w:rsidP="002F1F96">
      <w:pPr>
        <w:pStyle w:val="Style15"/>
        <w:widowControl/>
        <w:ind w:firstLine="567"/>
        <w:rPr>
          <w:rStyle w:val="FontStyle54"/>
          <w:rFonts w:ascii="Times New Roman" w:hAnsi="Times New Roman" w:cs="Times New Roman"/>
          <w:sz w:val="24"/>
          <w:lang w:val="en-US" w:eastAsia="en-US"/>
        </w:rPr>
      </w:pPr>
      <w:r w:rsidRPr="002F1F96">
        <w:rPr>
          <w:rStyle w:val="FontStyle54"/>
          <w:rFonts w:ascii="Times New Roman" w:hAnsi="Times New Roman" w:cs="Times New Roman"/>
          <w:sz w:val="24"/>
          <w:lang w:eastAsia="en-US"/>
        </w:rPr>
        <w:t xml:space="preserve">На проводимость и отбраковку пермеата влияет целый ряд факторов, таких как соленость и состав питательной воды, температура воды, уровень растворенных газов и давление в системе. Поэтому ни один из них не должен рассматриваться как истинный показатель пригодности воды для диализа. Поэтому в </w:t>
      </w:r>
      <w:r w:rsidRPr="002F1F96">
        <w:rPr>
          <w:rStyle w:val="FontStyle54"/>
          <w:rFonts w:ascii="Times New Roman" w:hAnsi="Times New Roman" w:cs="Times New Roman"/>
          <w:sz w:val="24"/>
          <w:lang w:val="en-US" w:eastAsia="en-US"/>
        </w:rPr>
        <w:t>ISO</w:t>
      </w:r>
      <w:r w:rsidRPr="002F1F96">
        <w:rPr>
          <w:rStyle w:val="FontStyle54"/>
          <w:rFonts w:ascii="Times New Roman" w:hAnsi="Times New Roman" w:cs="Times New Roman"/>
          <w:sz w:val="24"/>
          <w:lang w:eastAsia="en-US"/>
        </w:rPr>
        <w:t xml:space="preserve"> 23500-3 для этих параметров не установлено никаких ограничений. Вместо этого они должны использоваться для отслеживания изменений в производительности с течением времени, а не в качестве абсолютной меры качества, Это может быть установлено только путем проведения химического анализа очищенной воды в соответствии с </w:t>
      </w:r>
      <w:r w:rsidRPr="002F1F96">
        <w:rPr>
          <w:rStyle w:val="FontStyle54"/>
          <w:rFonts w:ascii="Times New Roman" w:hAnsi="Times New Roman" w:cs="Times New Roman"/>
          <w:sz w:val="24"/>
          <w:lang w:val="en-US" w:eastAsia="en-US"/>
        </w:rPr>
        <w:t>ISO</w:t>
      </w:r>
      <w:r w:rsidRPr="002F1F96">
        <w:rPr>
          <w:rStyle w:val="FontStyle54"/>
          <w:rFonts w:ascii="Times New Roman" w:hAnsi="Times New Roman" w:cs="Times New Roman"/>
          <w:sz w:val="24"/>
          <w:lang w:eastAsia="en-US"/>
        </w:rPr>
        <w:t xml:space="preserve"> 23500-3.</w:t>
      </w:r>
    </w:p>
    <w:p w:rsidR="002F1F96" w:rsidRPr="002F1F96" w:rsidRDefault="002F1F96" w:rsidP="002F1F96">
      <w:pPr>
        <w:pStyle w:val="Style15"/>
        <w:widowControl/>
        <w:ind w:firstLine="567"/>
        <w:rPr>
          <w:rStyle w:val="FontStyle54"/>
          <w:rFonts w:ascii="Times New Roman" w:hAnsi="Times New Roman" w:cs="Times New Roman"/>
          <w:sz w:val="24"/>
          <w:lang w:val="en-US" w:eastAsia="en-US"/>
        </w:rPr>
      </w:pPr>
    </w:p>
    <w:p w:rsidR="002F1F96" w:rsidRPr="002F1F96" w:rsidRDefault="002F1F96" w:rsidP="002F1F96">
      <w:pPr>
        <w:pStyle w:val="Style15"/>
        <w:widowControl/>
        <w:ind w:firstLine="567"/>
        <w:rPr>
          <w:rStyle w:val="FontStyle54"/>
          <w:rFonts w:ascii="Times New Roman" w:hAnsi="Times New Roman" w:cs="Times New Roman"/>
          <w:sz w:val="20"/>
          <w:szCs w:val="20"/>
          <w:lang w:eastAsia="en-US"/>
        </w:rPr>
      </w:pPr>
      <w:r w:rsidRPr="002F1F96">
        <w:rPr>
          <w:rStyle w:val="FontStyle54"/>
          <w:rFonts w:ascii="Times New Roman" w:hAnsi="Times New Roman" w:cs="Times New Roman"/>
          <w:sz w:val="20"/>
          <w:szCs w:val="20"/>
          <w:lang w:eastAsia="en-US"/>
        </w:rPr>
        <w:t>Примечание – Для двухступенчатых систем обратного осмоса процент отбраковки второй ступени будет ниже, чем у первой ступени, из-за физико-химических явлений.</w:t>
      </w:r>
    </w:p>
    <w:p w:rsidR="002F1F96" w:rsidRPr="002F1F96" w:rsidRDefault="002F1F96" w:rsidP="002F1F96">
      <w:pPr>
        <w:pStyle w:val="Style15"/>
        <w:widowControl/>
        <w:ind w:firstLine="567"/>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eastAsia="en-US"/>
        </w:rPr>
        <w:lastRenderedPageBreak/>
        <w:t xml:space="preserve">Другие параметры, которые должны быть измерены, включают в себя расход продукта и отбракованного потока, а также различные внутренние давления в пределах, допускаемых приборами системы. Хотя эти параметры не являются прямым показателем качества очищенной воды, </w:t>
      </w:r>
      <w:proofErr w:type="gramStart"/>
      <w:r w:rsidRPr="002F1F96">
        <w:rPr>
          <w:rStyle w:val="FontStyle54"/>
          <w:rFonts w:ascii="Times New Roman" w:hAnsi="Times New Roman" w:cs="Times New Roman"/>
          <w:sz w:val="24"/>
          <w:lang w:eastAsia="en-US"/>
        </w:rPr>
        <w:t>контроль за</w:t>
      </w:r>
      <w:proofErr w:type="gramEnd"/>
      <w:r w:rsidRPr="002F1F96">
        <w:rPr>
          <w:rStyle w:val="FontStyle54"/>
          <w:rFonts w:ascii="Times New Roman" w:hAnsi="Times New Roman" w:cs="Times New Roman"/>
          <w:sz w:val="24"/>
          <w:lang w:eastAsia="en-US"/>
        </w:rPr>
        <w:t xml:space="preserve"> ними может помочь гарантировать, что система работает в соответствии со спецификациями изготовителя и, таким образом, поможет поддерживать работоспособность мембран обратного осмоса. Расход потока можно использовать для расчета процента рекуперации системы обратного осмоса по формуле (2):</w:t>
      </w:r>
    </w:p>
    <w:p w:rsidR="002F1F96" w:rsidRPr="002F1F96" w:rsidRDefault="002F1F96" w:rsidP="002F1F96">
      <w:pPr>
        <w:pStyle w:val="Style15"/>
        <w:widowControl/>
        <w:ind w:firstLine="567"/>
        <w:rPr>
          <w:rStyle w:val="FontStyle54"/>
          <w:rFonts w:ascii="Times New Roman" w:hAnsi="Times New Roman" w:cs="Times New Roman"/>
          <w:sz w:val="24"/>
          <w:lang w:eastAsia="en-US"/>
        </w:rPr>
      </w:pPr>
    </w:p>
    <w:p w:rsidR="00B342F1" w:rsidRPr="00FF3390" w:rsidRDefault="002F1F96" w:rsidP="00FF3390">
      <w:pPr>
        <w:pStyle w:val="Style15"/>
        <w:widowControl/>
        <w:ind w:firstLine="0"/>
        <w:jc w:val="right"/>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val="kk-KZ" w:eastAsia="en-US"/>
        </w:rPr>
        <w:t>Рекуперация</w:t>
      </w:r>
      <w:r w:rsidR="00FF3390">
        <w:rPr>
          <w:rStyle w:val="FontStyle54"/>
          <w:rFonts w:ascii="Times New Roman" w:hAnsi="Times New Roman" w:cs="Times New Roman"/>
          <w:sz w:val="24"/>
          <w:lang w:val="kk-KZ" w:eastAsia="en-US"/>
        </w:rPr>
        <w:t xml:space="preserve"> </w:t>
      </w:r>
      <w:r w:rsidR="00FF3390" w:rsidRPr="00FF3390">
        <w:rPr>
          <w:rStyle w:val="FontStyle54"/>
          <w:rFonts w:ascii="Times New Roman" w:hAnsi="Times New Roman" w:cs="Times New Roman"/>
          <w:sz w:val="24"/>
          <w:lang w:val="kk-KZ" w:eastAsia="en-US"/>
        </w:rPr>
        <w:t>(%)</w:t>
      </w:r>
      <w:r w:rsidR="00FF3390">
        <w:rPr>
          <w:rStyle w:val="FontStyle54"/>
          <w:rFonts w:ascii="Times New Roman" w:hAnsi="Times New Roman" w:cs="Times New Roman"/>
          <w:sz w:val="24"/>
          <w:lang w:val="kk-KZ" w:eastAsia="en-US"/>
        </w:rPr>
        <w:t xml:space="preserve"> </w:t>
      </w:r>
      <w:r w:rsidR="00FF3390">
        <w:rPr>
          <w:rStyle w:val="FontStyle54"/>
          <w:rFonts w:ascii="Times New Roman" w:hAnsi="Times New Roman" w:cs="Times New Roman"/>
          <w:sz w:val="24"/>
          <w:lang w:eastAsia="en-US"/>
        </w:rPr>
        <w:t xml:space="preserve">= </w:t>
      </w:r>
      <m:oMath>
        <m:f>
          <m:fPr>
            <m:ctrlPr>
              <w:rPr>
                <w:rStyle w:val="FontStyle54"/>
                <w:rFonts w:ascii="Cambria Math" w:hAnsi="Cambria Math" w:cs="Times New Roman"/>
                <w:i/>
                <w:sz w:val="24"/>
                <w:lang w:eastAsia="en-US"/>
              </w:rPr>
            </m:ctrlPr>
          </m:fPr>
          <m:num>
            <m:sSub>
              <m:sSubPr>
                <m:ctrlPr>
                  <w:rPr>
                    <w:rStyle w:val="FontStyle54"/>
                    <w:rFonts w:ascii="Cambria Math" w:hAnsi="Cambria Math" w:cs="Times New Roman"/>
                    <w:i/>
                    <w:sz w:val="24"/>
                    <w:lang w:eastAsia="en-US"/>
                  </w:rPr>
                </m:ctrlPr>
              </m:sSubPr>
              <m:e>
                <m:r>
                  <w:rPr>
                    <w:rStyle w:val="FontStyle54"/>
                    <w:rFonts w:ascii="Cambria Math" w:hAnsi="Cambria Math" w:cs="Times New Roman"/>
                    <w:sz w:val="24"/>
                    <w:lang w:val="en-US" w:eastAsia="en-US"/>
                  </w:rPr>
                  <m:t>qv</m:t>
                </m:r>
              </m:e>
              <m:sub>
                <m:r>
                  <w:rPr>
                    <w:rStyle w:val="FontStyle54"/>
                    <w:rFonts w:ascii="Cambria Math" w:hAnsi="Cambria Math" w:cs="Times New Roman"/>
                    <w:sz w:val="24"/>
                    <w:lang w:eastAsia="en-US"/>
                  </w:rPr>
                  <m:t>P</m:t>
                </m:r>
              </m:sub>
            </m:sSub>
          </m:num>
          <m:den>
            <m:sSub>
              <m:sSubPr>
                <m:ctrlPr>
                  <w:rPr>
                    <w:rStyle w:val="FontStyle54"/>
                    <w:rFonts w:ascii="Cambria Math" w:hAnsi="Cambria Math" w:cs="Times New Roman"/>
                    <w:i/>
                    <w:sz w:val="24"/>
                    <w:lang w:eastAsia="en-US"/>
                  </w:rPr>
                </m:ctrlPr>
              </m:sSubPr>
              <m:e>
                <m:r>
                  <w:rPr>
                    <w:rStyle w:val="FontStyle54"/>
                    <w:rFonts w:ascii="Cambria Math" w:hAnsi="Cambria Math" w:cs="Times New Roman"/>
                    <w:sz w:val="24"/>
                    <w:lang w:eastAsia="en-US"/>
                  </w:rPr>
                  <m:t>qv</m:t>
                </m:r>
              </m:e>
              <m:sub>
                <m:r>
                  <w:rPr>
                    <w:rStyle w:val="FontStyle54"/>
                    <w:rFonts w:ascii="Cambria Math" w:hAnsi="Cambria Math" w:cs="Times New Roman"/>
                    <w:sz w:val="24"/>
                    <w:lang w:eastAsia="en-US"/>
                  </w:rPr>
                  <m:t>P</m:t>
                </m:r>
              </m:sub>
            </m:sSub>
            <m:r>
              <w:rPr>
                <w:rStyle w:val="FontStyle54"/>
                <w:rFonts w:ascii="Cambria Math" w:hAnsi="Cambria Math" w:cs="Times New Roman"/>
                <w:sz w:val="24"/>
                <w:lang w:eastAsia="en-US"/>
              </w:rPr>
              <m:t>+</m:t>
            </m:r>
            <m:sSub>
              <m:sSubPr>
                <m:ctrlPr>
                  <w:rPr>
                    <w:rStyle w:val="FontStyle54"/>
                    <w:rFonts w:ascii="Cambria Math" w:hAnsi="Cambria Math" w:cs="Times New Roman"/>
                    <w:i/>
                    <w:sz w:val="24"/>
                    <w:lang w:eastAsia="en-US"/>
                  </w:rPr>
                </m:ctrlPr>
              </m:sSubPr>
              <m:e>
                <m:r>
                  <w:rPr>
                    <w:rStyle w:val="FontStyle54"/>
                    <w:rFonts w:ascii="Cambria Math" w:hAnsi="Cambria Math" w:cs="Times New Roman"/>
                    <w:sz w:val="24"/>
                    <w:lang w:eastAsia="en-US"/>
                  </w:rPr>
                  <m:t>qv</m:t>
                </m:r>
              </m:e>
              <m:sub>
                <m:r>
                  <w:rPr>
                    <w:rStyle w:val="FontStyle54"/>
                    <w:rFonts w:ascii="Cambria Math" w:hAnsi="Cambria Math" w:cs="Times New Roman"/>
                    <w:sz w:val="24"/>
                    <w:lang w:eastAsia="en-US"/>
                  </w:rPr>
                  <m:t>R</m:t>
                </m:r>
              </m:sub>
            </m:sSub>
          </m:den>
        </m:f>
        <m:r>
          <w:rPr>
            <w:rStyle w:val="FontStyle54"/>
            <w:rFonts w:ascii="Cambria Math" w:hAnsi="Cambria Math" w:cs="Times New Roman"/>
            <w:sz w:val="24"/>
            <w:lang w:eastAsia="en-US"/>
          </w:rPr>
          <m:t>×100</m:t>
        </m:r>
      </m:oMath>
      <w:r w:rsidR="00FF3390" w:rsidRPr="00FF3390">
        <w:rPr>
          <w:rStyle w:val="FontStyle54"/>
          <w:rFonts w:ascii="Times New Roman" w:hAnsi="Times New Roman" w:cs="Times New Roman"/>
          <w:sz w:val="24"/>
          <w:lang w:eastAsia="en-US"/>
        </w:rPr>
        <w:t xml:space="preserve">                                             (1)</w:t>
      </w:r>
    </w:p>
    <w:p w:rsidR="00737F52" w:rsidRDefault="00737F52" w:rsidP="004636A8">
      <w:pPr>
        <w:pStyle w:val="Style15"/>
        <w:widowControl/>
        <w:ind w:firstLine="0"/>
        <w:jc w:val="center"/>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где </w:t>
      </w:r>
      <m:oMath>
        <m:sSub>
          <m:sSubPr>
            <m:ctrlPr>
              <w:rPr>
                <w:rStyle w:val="FontStyle54"/>
                <w:rFonts w:ascii="Cambria Math" w:hAnsi="Cambria Math" w:cs="Times New Roman"/>
                <w:i/>
                <w:sz w:val="24"/>
                <w:lang w:eastAsia="en-US"/>
              </w:rPr>
            </m:ctrlPr>
          </m:sSubPr>
          <m:e>
            <m:r>
              <w:rPr>
                <w:rStyle w:val="FontStyle54"/>
                <w:rFonts w:ascii="Cambria Math" w:hAnsi="Cambria Math" w:cs="Times New Roman"/>
                <w:sz w:val="24"/>
                <w:lang w:val="en-US" w:eastAsia="en-US"/>
              </w:rPr>
              <m:t>qv</m:t>
            </m:r>
          </m:e>
          <m:sub>
            <m:r>
              <w:rPr>
                <w:rStyle w:val="FontStyle54"/>
                <w:rFonts w:ascii="Cambria Math" w:hAnsi="Cambria Math" w:cs="Times New Roman"/>
                <w:sz w:val="24"/>
                <w:lang w:eastAsia="en-US"/>
              </w:rPr>
              <m:t>P</m:t>
            </m:r>
          </m:sub>
        </m:sSub>
      </m:oMath>
      <w:r w:rsidRPr="002F1F96">
        <w:rPr>
          <w:rStyle w:val="FontStyle54"/>
          <w:rFonts w:ascii="Times New Roman" w:hAnsi="Times New Roman" w:cs="Times New Roman"/>
          <w:sz w:val="24"/>
          <w:lang w:val="kk-KZ" w:eastAsia="en-US"/>
        </w:rPr>
        <w:t xml:space="preserve"> – объемный расход пермеата;</w:t>
      </w:r>
    </w:p>
    <w:p w:rsidR="00737F52" w:rsidRPr="002F1F96" w:rsidRDefault="002F1F96" w:rsidP="002F1F96">
      <w:pPr>
        <w:pStyle w:val="Style15"/>
        <w:widowControl/>
        <w:ind w:firstLine="567"/>
        <w:rPr>
          <w:rStyle w:val="FontStyle54"/>
          <w:rFonts w:ascii="Times New Roman" w:hAnsi="Times New Roman" w:cs="Times New Roman"/>
          <w:sz w:val="24"/>
          <w:lang w:val="kk-KZ" w:eastAsia="en-US"/>
        </w:rPr>
      </w:pPr>
      <m:oMath>
        <m:sSub>
          <m:sSubPr>
            <m:ctrlPr>
              <w:rPr>
                <w:rStyle w:val="FontStyle54"/>
                <w:rFonts w:ascii="Cambria Math" w:hAnsi="Cambria Math" w:cs="Times New Roman"/>
                <w:i/>
                <w:sz w:val="24"/>
                <w:lang w:eastAsia="en-US"/>
              </w:rPr>
            </m:ctrlPr>
          </m:sSubPr>
          <m:e>
            <m:r>
              <w:rPr>
                <w:rStyle w:val="FontStyle54"/>
                <w:rFonts w:ascii="Cambria Math" w:hAnsi="Cambria Math" w:cs="Times New Roman"/>
                <w:sz w:val="24"/>
                <w:lang w:eastAsia="en-US"/>
              </w:rPr>
              <m:t>qv</m:t>
            </m:r>
          </m:e>
          <m:sub>
            <m:r>
              <w:rPr>
                <w:rStyle w:val="FontStyle54"/>
                <w:rFonts w:ascii="Cambria Math" w:hAnsi="Cambria Math" w:cs="Times New Roman"/>
                <w:sz w:val="24"/>
                <w:lang w:eastAsia="en-US"/>
              </w:rPr>
              <m:t>R</m:t>
            </m:r>
          </m:sub>
        </m:sSub>
      </m:oMath>
      <w:r w:rsidRPr="002F1F96">
        <w:rPr>
          <w:rStyle w:val="FontStyle54"/>
          <w:rFonts w:ascii="Times New Roman" w:hAnsi="Times New Roman" w:cs="Times New Roman"/>
          <w:sz w:val="24"/>
          <w:lang w:val="kk-KZ" w:eastAsia="en-US"/>
        </w:rPr>
        <w:t xml:space="preserve"> – отбракованный объемного расхода воды.</w:t>
      </w: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2F1F96">
        <w:rPr>
          <w:rStyle w:val="FontStyle54"/>
          <w:rFonts w:ascii="Times New Roman" w:hAnsi="Times New Roman" w:cs="Times New Roman"/>
          <w:sz w:val="20"/>
          <w:szCs w:val="20"/>
          <w:lang w:eastAsia="en-US"/>
        </w:rPr>
        <w:t>Примечани</w:t>
      </w:r>
      <w:r w:rsidRPr="002F1F96">
        <w:rPr>
          <w:rStyle w:val="FontStyle54"/>
          <w:rFonts w:ascii="Times New Roman" w:hAnsi="Times New Roman" w:cs="Times New Roman"/>
          <w:sz w:val="20"/>
          <w:szCs w:val="20"/>
          <w:lang w:val="kk-KZ" w:eastAsia="en-US"/>
        </w:rPr>
        <w:t>я</w:t>
      </w:r>
    </w:p>
    <w:p w:rsidR="002F1F96" w:rsidRPr="002F1F96" w:rsidRDefault="002F1F96" w:rsidP="002F1F96">
      <w:pPr>
        <w:pStyle w:val="Style15"/>
        <w:widowControl/>
        <w:ind w:firstLine="567"/>
        <w:rPr>
          <w:rStyle w:val="FontStyle54"/>
          <w:rFonts w:ascii="Times New Roman" w:hAnsi="Times New Roman" w:cs="Times New Roman"/>
          <w:sz w:val="20"/>
          <w:szCs w:val="20"/>
          <w:lang w:eastAsia="en-US"/>
        </w:rPr>
      </w:pPr>
      <w:r w:rsidRPr="002F1F96">
        <w:rPr>
          <w:rStyle w:val="FontStyle54"/>
          <w:rFonts w:ascii="Times New Roman" w:hAnsi="Times New Roman" w:cs="Times New Roman"/>
          <w:sz w:val="20"/>
          <w:szCs w:val="20"/>
          <w:lang w:val="kk-KZ" w:eastAsia="en-US"/>
        </w:rPr>
        <w:t>1</w:t>
      </w:r>
      <w:r w:rsidRPr="002F1F96">
        <w:rPr>
          <w:rStyle w:val="FontStyle54"/>
          <w:rFonts w:ascii="Times New Roman" w:hAnsi="Times New Roman" w:cs="Times New Roman"/>
          <w:sz w:val="20"/>
          <w:szCs w:val="20"/>
          <w:lang w:eastAsia="en-US"/>
        </w:rPr>
        <w:t xml:space="preserve"> Процент рекуперации также известен как «коэффициент преобразования воды». Эти термины эквивалентны, если ни один из потоков отбракованной воды не рециркулируется в поток питательной воды (см. В.2.7). Если часть потока отбракованной воды рециркулируется, </w:t>
      </w:r>
      <w:r w:rsidRPr="002F1F96">
        <w:rPr>
          <w:rStyle w:val="FontStyle54"/>
          <w:rFonts w:ascii="Times New Roman" w:hAnsi="Times New Roman" w:cs="Times New Roman"/>
          <w:sz w:val="20"/>
          <w:szCs w:val="20"/>
          <w:lang w:val="kk-KZ" w:eastAsia="en-US"/>
        </w:rPr>
        <w:t>ф</w:t>
      </w:r>
      <w:r w:rsidRPr="002F1F96">
        <w:rPr>
          <w:rStyle w:val="FontStyle54"/>
          <w:rFonts w:ascii="Times New Roman" w:hAnsi="Times New Roman" w:cs="Times New Roman"/>
          <w:sz w:val="20"/>
          <w:szCs w:val="20"/>
          <w:lang w:eastAsia="en-US"/>
        </w:rPr>
        <w:t>ормула (2) обеспечивает меру общего использования воды системой обратного осмоса, а не рекуперацию воды за один проход через мембранный модуль.</w:t>
      </w:r>
    </w:p>
    <w:p w:rsidR="002F1F96" w:rsidRP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2F1F96">
        <w:rPr>
          <w:rStyle w:val="FontStyle54"/>
          <w:rFonts w:ascii="Times New Roman" w:hAnsi="Times New Roman" w:cs="Times New Roman"/>
          <w:sz w:val="20"/>
          <w:szCs w:val="20"/>
          <w:lang w:val="kk-KZ" w:eastAsia="en-US"/>
        </w:rPr>
        <w:t>2</w:t>
      </w:r>
      <w:r>
        <w:rPr>
          <w:rStyle w:val="FontStyle54"/>
          <w:rFonts w:ascii="Times New Roman" w:hAnsi="Times New Roman" w:cs="Times New Roman"/>
          <w:sz w:val="20"/>
          <w:szCs w:val="20"/>
          <w:lang w:val="kk-KZ" w:eastAsia="en-US"/>
        </w:rPr>
        <w:t xml:space="preserve"> </w:t>
      </w:r>
      <w:r w:rsidRPr="002F1F96">
        <w:rPr>
          <w:rStyle w:val="FontStyle54"/>
          <w:rFonts w:ascii="Times New Roman" w:hAnsi="Times New Roman" w:cs="Times New Roman"/>
          <w:sz w:val="20"/>
          <w:szCs w:val="20"/>
          <w:lang w:eastAsia="en-US"/>
        </w:rPr>
        <w:t>Расход пермеатной воды изменяется в зависимости от рабочего давления и температуры. Чтобы можно было проводить сравнения в различных условиях эксплуатации, можно рассчитать нормализованный расход пермеата. Методы расчета нормированного расхода пермеата доступны у изготовителей мембран обратного осмоса, а также приведены в ASTM D4516-00 (2010).</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eastAsia="en-US"/>
        </w:rPr>
        <w:t>Если обратный осмос является конечным процессом в системе водоподготовки для удаления химических загрязнений, то анализ загрязняющих веществ, приведенных в таблицах 1 и 2, следует проводить при установке системы обратного осмоса для обеспечения соблюдения указанных пределов. Также рекомендуется проводить химический анализ при возникновении следующих ситуаций:</w:t>
      </w:r>
    </w:p>
    <w:p w:rsidR="002F1F96" w:rsidRPr="002F1F96" w:rsidRDefault="002F1F96" w:rsidP="002F1F96">
      <w:pPr>
        <w:pStyle w:val="Style15"/>
        <w:widowControl/>
        <w:ind w:firstLine="567"/>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eastAsia="en-US"/>
        </w:rPr>
        <w:t>- от поставщика воды поступает информация о том, что произошли значительные изменения в исходной воде, такие как сезонные колебания;</w:t>
      </w:r>
    </w:p>
    <w:p w:rsidR="002F1F96" w:rsidRPr="002F1F96" w:rsidRDefault="002F1F96" w:rsidP="002F1F96">
      <w:pPr>
        <w:pStyle w:val="Style15"/>
        <w:widowControl/>
        <w:ind w:firstLine="567"/>
        <w:rPr>
          <w:rStyle w:val="FontStyle54"/>
          <w:rFonts w:ascii="Times New Roman" w:hAnsi="Times New Roman" w:cs="Times New Roman"/>
          <w:sz w:val="24"/>
          <w:lang w:eastAsia="en-US"/>
        </w:rPr>
      </w:pPr>
      <w:r w:rsidRPr="002F1F96">
        <w:rPr>
          <w:rStyle w:val="FontStyle54"/>
          <w:rFonts w:ascii="Times New Roman" w:hAnsi="Times New Roman" w:cs="Times New Roman"/>
          <w:sz w:val="24"/>
          <w:lang w:eastAsia="en-US"/>
        </w:rPr>
        <w:t>- наблюдаются значительные отклонения технологических параметров, таких как рН, электропроводность, концентрация хлора и жесткость, что может повлиять на производительность компонентов системы водоподготовки;</w:t>
      </w:r>
    </w:p>
    <w:p w:rsidR="004636A8"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eastAsia="en-US"/>
        </w:rPr>
        <w:t>- скорость отбраковки обратного осмоса снижается более чем на 10 %.</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Все результаты измерений производительности обратного осмоса должны ежедневно регистрироваться в операционном журнале, который позволяет отслеживать тенденции и исторические данные.</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7.3.8 Контроль за деионизацией</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Деионизаторы должны непрерывно контролироваться с помощью датчиков удельного сопротивления, компенсирующих температуру до 25 °С и оснащенных звуковой и визуальной сигнализацией. Мониторы удельного сопротивления должны иметь минимальную чувствительность 1 МОм-см (1 мкСм/см или 0,1 мСм/м). Если удельное сопротивление воды на выходе деионизатора составляет менее 1 МОм-см, то вода не должна использоваться для диализа. Если деионизация используется в качестве основного метода удаления неорганических загрязнений (обратный осмос не используется) или когда деионизация необходима для полировки воды, обработанной обратным осмосом, то при установке системы следует проводить химический анализ для обеспечения соблюдения требований 4.2.2. Показания монитора удельного сопротивления следует записывать в журнал дважды в день обработки.</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lastRenderedPageBreak/>
        <w:t>7.3.9 Контроль за эндотоксиновыми фильтрами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Эффективность эндотоксиновых фильтров в системах распределения воды для диализа, распределения бикарбонатного концентрата или доставки диализирующего раствора можно контролировать путем тестирования жидкости, непосредственно выходящей из фильтра, на наличие бактерий и эндотоксинов. Эндотоксиновые фильтры должны быть оснащены средствами оценки целостности фильтров и их загрязнения. Одним из подходящих средств является контроль перепада давления (АР) через фильтр при заданном расходе раствора с помощью манометров на входе (подача) и выходе (продукт) потоков. Альтернативно, расход раствора можно измерить при заданном перепаде давления. Такой контроль может указывать, когда загрязнение мембраны прогрессирует до такой степени, что требуется замена мембраны или ее очистка. Контроль также необходим для обеспечения того, чтобы устройство эксплуатировалось в соответствии с инструкциями изготовителя. Эндотоксинные фильтры, работающие в режиме поперечного потока, также должны контролироваться с точки зрения расхода раствора, направляемого на слив при заданном перепаде давления. Результаты измерений давления и уровня бактерий и эндотоксинов должны быть занесены в журнал регистрации.</w:t>
      </w: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 Контроль за хранением и распределением воды для диализа</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7.4.1 Контроль за резервуарами для хранения воды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Для системы, которая распределяет воду для диализа в дозирующие системы для одного пациента, рутинное наблюдение за резервуаром для хранения воды с целью контроля общего количества жизнеспособных микроорганизмов и концентрации эндотоксинов обычно осуществляется косвенно путем наблюдения за водой для диализа на первом выходе в распределительный контур. Для рутинного наблюдения за резервуаром для хранения, который подает воду для диализа в центральную систему подачи диализирующего раствора, или когда прямое наблюдение за резервуаром для хранения воды для диализа выполняется как часть процесса устранения неполадок, общее количество жизнеспособных микроорганизмов и концентрацию эндотоксинов следует определять с помощью образцов, взятых из порта на выходе резервуара для хранения. При внесении изменений в существующий резервуар для хранения следует рассмотреть возможность проведения более частых испытаний для проверки того, что уровень бактерий или эндотоксинов постоянно находится в допустимых пределах. Необходимость проведения дополнительного испытания должна основываться на первоначальном плане валидации (см. 6.2) и анализе рисков возможного влияния изменений на производительность системы. Все общие показатели жизнеспособных микроорганизмов и эндотоксинов должны быть занесены в журнал регистрации и подлежать анализу трендов.</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7.4.2 Наблюдение за распределительными системами водоснабжения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Системы распределительных трубопроводов, используемые для воды для диализа, должны контролироваться на предмет общего количества жизнеспособных микроорганизмов и концентрации эндотоксинов, чтобы продемонстрировать соответствие программы дезинфекции, описанной в 8.2. Общее количество жизнеспособных микроорганизмов и эндотоксинов не должно превышать уровней, указанных в 4.2.4 и таблице 3. Наблюдение должно осуществляться путем отбора проб с последнего выхода распределительного контура и с выходов, снабжающих оборудование при повторном использовании и баки для смешивания бикарбонатного концентрата. Если результаты этого испытания неудовлетворительны, программа дезинфекции должна быть повторно оценена и дополнительные ис</w:t>
      </w:r>
      <w:r>
        <w:rPr>
          <w:rStyle w:val="FontStyle54"/>
          <w:rFonts w:ascii="Times New Roman" w:hAnsi="Times New Roman" w:cs="Times New Roman"/>
          <w:sz w:val="24"/>
          <w:lang w:val="kk-KZ" w:eastAsia="en-US"/>
        </w:rPr>
        <w:t xml:space="preserve">пытания (например, вход и выход </w:t>
      </w:r>
      <w:r w:rsidRPr="002F1F96">
        <w:rPr>
          <w:rStyle w:val="FontStyle54"/>
          <w:rFonts w:ascii="Times New Roman" w:hAnsi="Times New Roman" w:cs="Times New Roman"/>
          <w:sz w:val="24"/>
          <w:lang w:val="kk-KZ" w:eastAsia="en-US"/>
        </w:rPr>
        <w:t xml:space="preserve">эндотоксинового фильтра, чистой воды обратного осмоса и выход резервуара для хранения) должны быть проведены </w:t>
      </w:r>
      <w:r w:rsidRPr="002F1F96">
        <w:rPr>
          <w:rStyle w:val="FontStyle54"/>
          <w:rFonts w:ascii="Times New Roman" w:hAnsi="Times New Roman" w:cs="Times New Roman"/>
          <w:sz w:val="24"/>
          <w:lang w:val="kk-KZ" w:eastAsia="en-US"/>
        </w:rPr>
        <w:lastRenderedPageBreak/>
        <w:t>в рамках процедуры устранения неполадок для выявления источника загрязнения, после чего могут быть приняты соответствующие корректирующие меры. Общее количество жизнеспособных микроорганизмов и испытание на концентрацию эндотоксинов должны проводиться по регулярному графику в соответствии с данными валидации системы и местными правилами и в соответствии с 8.3. Когда в существующую систему вносятся изменения, следует рассмотреть возможность более частого проведения испытаний для проверки того, что уровень бактерий или эндотоксинов постоянно находится в допустимых пределах. Необходимость в дополнительном испытании должна основываться на первоначальном плане валидации (см. 6.2) и анализе рисков возможного влияния изменений на производительность системы. Все результаты по содержанию бактерий и эндотоксинов должны быть занесены в журнал регистрации, чтобы можно было определить тренды и необходимость корректирующих действий.</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7.4.3 Контроль за устройствами бактериального контроля</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7.4.3.1 Контроль за ультрафиолетовыми излучателями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Ультрафиолетовые (УФ) излучатели, предназначенные для использования в качестве непосредственного средства борьбы с бактериями, должны контролироваться на предмет выхода излучаемой энергии. УФ-излучатели доступны с датчиками интенсивности излучаемой энергии. Для определения того, излучает ли УФ-лампа достаточную энергию, можно использовать либо визуальный сигнал тревоги, либо выходной измеритель. </w:t>
      </w:r>
      <w:r>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УФ-излучатели должны контролироваться на частоте, рекомендованной изготовителем. Поскольку излучаемая энергия уменьшается со временем, обычно требуется ежегодная замена лампы. Периодическая очистка кварцевого рукава также может потребоваться, в зависимости от качества воды. Для указания того, что наблюдение было проведено, следует использовать регистрационный лист.</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7.4.3.2 Контроль за генераторами озона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Генераторы озона должны контролироваться на предмет выхода озона на уровне, указанном изготовителем. Выход генератора озона должен быть измерен путем определения концентрации озона в воде в наиболее удаленной точке от генератора озона. Для измерения концентрации озона следует использовать тест, основанный на химии индиго трисульфоната, DPD или эквивалентных ему тест-полосок или тест-полосок озона в воде. Рекомендуется измерять концентрацию озона при каждом проведении дезинфекции. Испытание на содержание озона в окружающем воздухе должно проводиться на периодической основе, как это рекомендовано изготовителем, для обеспечения соответствия национальным стандартам и правилам в отношении допустимого предела воздействия. Для указания того, что наблюдение было проведено, следует использовать регистрационный лист.</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7.4.3.3 Контроль за системами обеззараживания горячей воды</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Системы обеззараживания горячей воды должны контролироваться на предмет температуры и времени воздействия горячей воды, как указано изготовителем. Температуру воды следует регистрировать в точке, наиболее удаленной от водонагревателя, то есть там, где вероятна наиболее низкая температура воды. Рекомендуется измерять температуру воды каждый раз, когда выполняется цикл дезинфекции. Следует вести учет, подтверждающий успешное завершение тепловой дезинфекции. Успешное завершение определяется как соответствие температурным и временным требованиям, установленным изготовителем оборудования.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2F1F96">
        <w:rPr>
          <w:rStyle w:val="FontStyle54"/>
          <w:rFonts w:ascii="Times New Roman" w:hAnsi="Times New Roman" w:cs="Times New Roman"/>
          <w:sz w:val="20"/>
          <w:szCs w:val="20"/>
          <w:lang w:val="kk-KZ" w:eastAsia="en-US"/>
        </w:rPr>
        <w:t>Примечание – 7.4.1-7.4.3 относятся к таблице С.1 и помогает ее объяснить.</w:t>
      </w: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lastRenderedPageBreak/>
        <w:t>7.5 Контроль за приготовлением концентрата</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7.5.1 Контроль за системами смешивания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Системы для приготовления бикарбонатного или кислотного концентрата из порошка или других высококонцентрированных сред в отделении диализа должны контролироваться в соответствии с инструкциями изготовителя смесительной системы для обеспечения надлежащего растворения. Если предприятие проектирует свою собственную систему, оно считается изготовителем, таким образом необходимо, чтобы процедуры проверки, валидации и надзора разрабатывались и осуществлялись эквивалентно тому как это делает изготовитель.</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Кислотные и бикарбонатные концентраты могут быть испытаны путем измерения их проводимости, плотности с помощью плотномера или удельного веса с помощью гидрометра в соответствии с инструкциями изготовителя. Хотя это и не требуется, некоторые изготовители порошковых концентратов или других высококонцентрированных сред могут установить допустимые диапазоны либо проводимости, либо плотности, либо удельного веса концентратов, приготовленных из их </w:t>
      </w:r>
      <w:r>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порошка. Использование только рН в качестве индикатора надлежащего растворения нецелесообразно как для кислотных, так и для бикарбонатных концентратов, поскольку большие колебания концентрации не приводят к значительным изменениям рН. Концентраты не следует использовать или переносить в резервуары для хранения или распределительные системы до завершения всех испытаний. Результаты испытаний и проверка их соответствия всем применимым критериям должны быть зарегистрированы и подписаны лицами, проводящими испытания.</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7.5.2 Контроль за добавками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Когда добавки назначаются конкретному пациенту, контейнер, содержащий предписанные концентраты, должен быть маркирован именем пациента, конечной концентрацией добавляемого электролита, датой и временем смешивания предписанного концентрата и именем лица, которое смешивало добавку. Эта информация также должна быть записана в соответствии с требованиями 4.5. Этикетка должна быть прикреплена к контейнеру, когда начинается процесс смешивания.</w:t>
      </w:r>
    </w:p>
    <w:p w:rsid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7.6 Контроль за распределением концентрата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Рекомендуется ежедневно проверять, подключен ли соответствующий кислотный и бикарбонатный концентрат к соответствующей линии подачи концентрата, если резервуар для хранения не подключен постоянно к его распределительному трубопроводу.</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После того как система распределения бикарбоната активирована, диализирующий раствор следует контролировать еженедельно до тех пор, пока не будет получено достаточно данных, чтобы продемонстрировать соответствие программы дезинфекции для системы распределения бикарбоната. В этом случае частота наблюдения может быть снижена, но наблюдение должно проводиться не реже одного раза в месяц. Если в диализирующем растворе обнаружено повышенное общее количество жизнеспособных микроорганизмов или уровень эндотоксинов, то следует оценить и пересмотреть программу дезинфекции для всех систем, участвующих в подготовке диализирующего раствора, включая систему распределения бикарбонатного концентрата. Затем следует увеличить частоту наблюдения до тех пор, пока не будет доказано, что пересмотренная программа дезинфекции достаточна для обеспечения концентрата, позволяющего готовить диализирующий раствор, отвечающий требованиям качества ISO 23500-5.</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Нет никаких опубликованных сообщений о кислотных концентратах, поддерживающих рост бактерий; поэтому нет необходимости проводить рутинные испытания на общее количество жизнеспособных микроорганизмов и эндотоксинов в этих </w:t>
      </w:r>
      <w:r w:rsidRPr="002F1F96">
        <w:rPr>
          <w:rStyle w:val="FontStyle54"/>
          <w:rFonts w:ascii="Times New Roman" w:hAnsi="Times New Roman" w:cs="Times New Roman"/>
          <w:sz w:val="24"/>
          <w:lang w:val="kk-KZ" w:eastAsia="en-US"/>
        </w:rPr>
        <w:lastRenderedPageBreak/>
        <w:t>системах. Тем не менее, должна быть предусмотрена возможность дезинфицировать эти системы.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7.7 Контроль за дозированием диализирующего раствора</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Дозирование диализирующего раствора должно контролироваться в соответствии с процедурами, указанными изготовителем оборудования. Когда пользователь предъявляет особые требования к наблюдению за дозированием диализирующего раствора, например при изменении настроек аппарата для диализа, чтобы разрешить использование концентратов с другим соотношением дозирования, пользователь должен разработать процедуры для рутинного наблюдения за значениями электролитов диализирующего раствора, такие как наблюдение за натрием (Na+), калием (К+) или проводимостью диализрующего раствора.</w:t>
      </w: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 xml:space="preserve">8 Методы микробиологического контроля </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8.1 Общие положения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Методы борьбы с размножением микроорганизмов в системах гемодиализа в первую очередь предполагают соответствующее проектирование и эксплуатацию систем, а также регулярную дезинфекцию всей жидкостной системы. Это включает в себя мембраны обратного осмоса (особенно чистую сторону), распределительные трубопроводы, входные линии к аппаратам для диализа (расположенные перед контуром дезинфекции аппарата для диализа) и аппараты для диализа (которые имеют свой собственный контур дезинфекции и программу). Ключевая концепция обеспечения соответствия требованиям 4.2.4 и 4.4 заключается в том, что графики дезинфекции должны разрабатываться таким образом, чтобы предотвращать размножение микроорганизмов, а не уничтожать их после того, как они размножатся до неприемлемого уровня. При таком методе контрольные уровни микроорганизмов и эндотоксинов демонстрируют эффективность программы дезинфекции, а не указывают, когда следует проводить дезинфекцию.</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Микроорганизмы в растворах колонизируют поверхности, что приводит к образованию биопленки, даже когда уровень микробного загрязнения низок. Микроорганизмы, живущие внутри биопленок,  </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вырабатывают внеклеточный полисахарид или слизистый матрикс, который защищает их от дезинфекции. Микроорганизмы также выделяют как простые, так и сложные метаболиты. Их влияние на пациентов, а также то, удаляются ли они с помощью эндотоксиновых фильтров, в значительной степени неизвестно. Поэтому все методы микробиологического контроля системы должны быть проактивными, чтобы ограничить рост микроорганизмов и образование биопленок и предотвратить биологическое обрастание. Крайне важно, чтобы процедура дезинфекции применялась с самого начала работы системы гемодиализа, поскольку однажды образовавшуюся биопленку трудно, если вообще возможно, уничтожить.</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Объединенные усилия по дезинфекции и использованию методов борьбы с бактериями позволяют свести к минимуму микробиологический рост и образование биопленок.</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 Дезифекция</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8.2.1 Общие положения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Дезинфекция </w:t>
      </w:r>
      <w:r>
        <w:rPr>
          <w:rStyle w:val="FontStyle54"/>
          <w:rFonts w:ascii="Times New Roman" w:hAnsi="Times New Roman" w:cs="Times New Roman"/>
          <w:sz w:val="24"/>
          <w:lang w:val="kk-KZ" w:eastAsia="en-US"/>
        </w:rPr>
        <w:t>–</w:t>
      </w:r>
      <w:r w:rsidRPr="002F1F96">
        <w:rPr>
          <w:rStyle w:val="FontStyle54"/>
          <w:rFonts w:ascii="Times New Roman" w:hAnsi="Times New Roman" w:cs="Times New Roman"/>
          <w:sz w:val="24"/>
          <w:lang w:val="kk-KZ" w:eastAsia="en-US"/>
        </w:rPr>
        <w:t xml:space="preserve"> единственный эффективный метод уменьшения и инактивации микрофлоры.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lastRenderedPageBreak/>
        <w:t xml:space="preserve">Во-первых, и это самое главное, важна частота дезинфекции. Дезинфекция должна проводиться регулярно, чтобы ограничить образование биопленок и предотвратить биозагрязнение в жидкостных путях системы. В зависимости от обстоятельств для соблюдения требований к качеству жидкости, изложенных в </w:t>
      </w:r>
      <w:r>
        <w:rPr>
          <w:rStyle w:val="FontStyle54"/>
          <w:rFonts w:ascii="Times New Roman" w:hAnsi="Times New Roman" w:cs="Times New Roman"/>
          <w:sz w:val="24"/>
          <w:lang w:val="kk-KZ" w:eastAsia="en-US"/>
        </w:rPr>
        <w:t>разделе</w:t>
      </w:r>
      <w:r w:rsidRPr="002F1F96">
        <w:rPr>
          <w:rStyle w:val="FontStyle54"/>
          <w:rFonts w:ascii="Times New Roman" w:hAnsi="Times New Roman" w:cs="Times New Roman"/>
          <w:sz w:val="24"/>
          <w:lang w:val="kk-KZ" w:eastAsia="en-US"/>
        </w:rPr>
        <w:t xml:space="preserve"> 4, могут потребоваться различные уровни дезинфекции.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Во-вторых: все поверхности в контуре должны быть включены в процедуру дезинфекции. Это включает в себя мембраны обратного осмоса (особенно чистую сторону), распределительные трубопроводы, входные линии к аппаратам для диализа (расположенные перед контуром дезинфекции аппарата для диализа) и аппараты для диализа (которые имеют свой собственный контур дезинфекции и программу).</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В-третьих, дезинфекционная процедура, применяемая с заданной частотой и с включением всех критических зон, должна быть способна свести к минимуму последствия биообрастания.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Дезинфекцию можно проводить с помощью тепла или химикатов. УФ-лампы могут быть использованы для инактивации планктонных клеток, но не имеют никакой ценности против любой биопленки, которая образовалась в системе.</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8.2.2 Микробиологические аспекты проектирования жидкостных систем</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Контур после системы обратного осмоса, включая чистую сторону мембран обратного осмоса, распределительные трубопроводы, резервуары и фильтры в распределительных трубопроводах, а также входные линии к аппаратам для диализа должны обслуживаться и дезинфицироваться таким образом, чтобы можно было выполнять микробиологические требования ISO 23500-5 и ISO 23500-3.</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Примеры хорошего системного проектирования включают:</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использование системы рецирку</w:t>
      </w:r>
      <w:r>
        <w:rPr>
          <w:rStyle w:val="FontStyle54"/>
          <w:rFonts w:ascii="Times New Roman" w:hAnsi="Times New Roman" w:cs="Times New Roman"/>
          <w:sz w:val="24"/>
          <w:lang w:val="kk-KZ" w:eastAsia="en-US"/>
        </w:rPr>
        <w:t>ляции;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избегание тупи</w:t>
      </w:r>
      <w:r>
        <w:rPr>
          <w:rStyle w:val="FontStyle54"/>
          <w:rFonts w:ascii="Times New Roman" w:hAnsi="Times New Roman" w:cs="Times New Roman"/>
          <w:sz w:val="24"/>
          <w:lang w:val="kk-KZ" w:eastAsia="en-US"/>
        </w:rPr>
        <w:t>ков и зон мертвого пространства;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высококачеств</w:t>
      </w:r>
      <w:r>
        <w:rPr>
          <w:rStyle w:val="FontStyle54"/>
          <w:rFonts w:ascii="Times New Roman" w:hAnsi="Times New Roman" w:cs="Times New Roman"/>
          <w:sz w:val="24"/>
          <w:lang w:val="kk-KZ" w:eastAsia="en-US"/>
        </w:rPr>
        <w:t>енную отделку швов и соединений;</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использование материалов, совместимых с план</w:t>
      </w:r>
      <w:r>
        <w:rPr>
          <w:rStyle w:val="FontStyle54"/>
          <w:rFonts w:ascii="Times New Roman" w:hAnsi="Times New Roman" w:cs="Times New Roman"/>
          <w:sz w:val="24"/>
          <w:lang w:val="kk-KZ" w:eastAsia="en-US"/>
        </w:rPr>
        <w:t>ируемыми методами дезинфекции;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избегание резервуаров для хранения. Если резервуар для хранения необходим, он должен быть спроектирован и построен таким образом, чтобы его можно было очистить и продезинфицировать.</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После установки системы водоподготовки необходимо поддерживать поток воды, чтобы ограничить образование биопленок.</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2F1F96">
        <w:rPr>
          <w:rStyle w:val="FontStyle54"/>
          <w:rFonts w:ascii="Times New Roman" w:hAnsi="Times New Roman" w:cs="Times New Roman"/>
          <w:sz w:val="20"/>
          <w:szCs w:val="20"/>
          <w:lang w:val="kk-KZ" w:eastAsia="en-US"/>
        </w:rPr>
        <w:t>Примечания</w:t>
      </w:r>
    </w:p>
    <w:p w:rsidR="002F1F96" w:rsidRP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2F1F96">
        <w:rPr>
          <w:rStyle w:val="FontStyle54"/>
          <w:rFonts w:ascii="Times New Roman" w:hAnsi="Times New Roman" w:cs="Times New Roman"/>
          <w:sz w:val="20"/>
          <w:szCs w:val="20"/>
          <w:lang w:val="kk-KZ" w:eastAsia="en-US"/>
        </w:rPr>
        <w:t>1 Образование биопленки на поверхности является следствием многих факторов, включая шероховатость поверхности и скорость потока. Экспериментальные исследования показали, что турбулентное течение в трубопроводной системе способно минимизировать, но не полностью устранить образование биопленки.</w:t>
      </w:r>
    </w:p>
    <w:p w:rsidR="002F1F96" w:rsidRP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2F1F96">
        <w:rPr>
          <w:rStyle w:val="FontStyle54"/>
          <w:rFonts w:ascii="Times New Roman" w:hAnsi="Times New Roman" w:cs="Times New Roman"/>
          <w:sz w:val="20"/>
          <w:szCs w:val="20"/>
          <w:lang w:val="kk-KZ" w:eastAsia="en-US"/>
        </w:rPr>
        <w:t>2 В отделениях диализа может не быть непрерывного потока через систему, так как пациенты не могут лечиться в течение ночи или система проходит техническое обслуживание. Следовательно, невозможно определить минимальную скорость потока, которая была бы эффективна для уменьшения образования биопленки и бактериального загрязнения. Кроме того, использование такой скорости потока не могло бы заменить регулярную дезинфекцию распределительной системы.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Проектирование системы должно также учитывать профилактическое обслуживание системы распределения жидкости, а также обучение и подготовку персонала с целью повышения осведомленности о дезинфекции и микробиологическом контроле.</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Программа дезинфекции могла бы компенсировать слабость в конструкции системы, но не сможет полностью предотвратить образование биопленки, которую будет трудно искоренить.</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lastRenderedPageBreak/>
        <w:t>8.2.3 Частота дезинфекции</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8.2.3.1 Общие положения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Ключевая концепция обеспечения соответствия требованиям 4.2.4 и 4.4.2 заключается в том, что графики дезинфекции должны разрабатываться для предотвращения размножения бактерий, а не для уничтожения бактерий после того, как они размножились до неприемлемого уровня (т. е. выше уровня действия). При использовании этого метода контрольные уровни бактерий и эндотоксинов служат для демонстрации эффективности программы дезинфекции, а не для указания того, когда следует проводить дезинфекцию.</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Дезинфекция носит профилактический характер и должна применяться с самого начала эксплуатации системы. Частота дезинфекции может быть изменена на основе результатов, полученных в ходе валидации, эпидемнадзора и повторной валидации. Любое такое изменение должно быть надлежащим образом задокументировано.</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8.2.3.2 Системы хранения и распределения воды для диализа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Системы хранения и распределения должны дезинфицироваться по графику, позволяющему регулярно выполнять рекомендации по качеству воды, содержащиеся в 4.2.4. Для интегрированных систем обработки и распределения следует соблюдать инструкции изготовителя по дезинфекции при условии, что рутинный контроль показывает, что они соответствуют требованиям 4.2.4. Для систем, собранных из отдельных компонентов, частота дезинфекции, необходимая для минимизации образования биопленки, будет варьироваться в зависимости от конструкции системы и. в случае существующих систем, от степени, в которой уже произошло какое-либо биообрастание. В приложении С содержится дополнительная информация о контроле за оборудованием для водоподготовки и распределительными системами. В приложении D содержится дополнительная информация о методах микробиологического контроля.</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8.2.3.3 Системы смешивания концентратов</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Оборудование для смешивания концентратов должно быть либо</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а) полностью опорожнены, очищены и/или продезинфицированы в соответствии с инструкциями изготовителя; или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b) очищается и/или дезинфицируется с использованием процедуры, доказавшей свою эффективность при регулярном производстве концентрата, что позволяет выполнять рекомендации 4.3.1.</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Данные о смешивании и дезинфекции должны быть записаны для каждого цикла смешивания и дезинфекции в специальный журнал.</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8.2.3.4 Системы распределения концентрата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Системы распределения бикарбонатного концентрата по трубопроводам должны дезинфицироваться либо в соответствии с инструкциями изготовителя, либо с использованием процедуры, которая была продемонстрирована предприятием как эффективная при регулярном производстве концентрата, позволяющая выполнять рекомендации 4.3.1. Если изготовитель не предоставляет процедуру дезинфекции, пользователь должен разработать и утвердить протокол дезинфекции. Рекомендуется, чтобы контроль за системами распределения концентрата осуществлялся на регулярной основе.</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Когда производимый централизованно бикарбонатный концентрат декантируется в многоразовые контейнеры для концентрата, контейнеры и приемные трубки должны дезинфицироваться по крайней мере еженедельно или с периодичностью, требуемой местными правилами. Контейнеры с бикарбонатным концентратом и трубки для сбора концентрата должны быть промыты очищенной водой, высушены на воздухе и храниться перевернутыми в конце каждого дня обработки. Поскольку нет опубликованных отчетов о </w:t>
      </w:r>
      <w:r w:rsidRPr="002F1F96">
        <w:rPr>
          <w:rStyle w:val="FontStyle54"/>
          <w:rFonts w:ascii="Times New Roman" w:hAnsi="Times New Roman" w:cs="Times New Roman"/>
          <w:sz w:val="24"/>
          <w:lang w:val="kk-KZ" w:eastAsia="en-US"/>
        </w:rPr>
        <w:lastRenderedPageBreak/>
        <w:t>том, что кислотный концентрат, поддерживает рост бактерий, дезинфекция систем распределения кислотного концентрата обычно не требуется. Тем не менее, должна быть обеспечена возможность дезинфицировать эти системы.</w:t>
      </w: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8.3 Методы микробиологического контроля</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8.3.1 Общие положения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Жидкостная система должна регулярно контролироваться с целью проверки соблюдения микробиологических показателей качества (бионагрузка, представленная общим количеством микроорганизмов в чашке Петри и концентрацией эндотоксинов).</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Частота отбора проб должна соответствовать применимым местным рекомендациям. Если таких рекомендаций не существует, рекомендуется следующее:</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а) система водоснабжения: количество проб и позиции отбора проб должны основываться на сложности и размерах системы водоснабжения. Периодичность будет зависеть от анализа данных, собранных в ходе валидации и повторной валидации. Наиболее часто применяется ежемесячное наблюдение, но менее или более частое наблюдение может быть возможным на основе данных, собранных в ходе валидации и повторной валидации.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b) аппараты для диализирующего раствора/гемодиализа без валидированного бактериального и эндотоксинового фильтра: аппараты должны регулярно отбираться для проверки эффективности процесса дезинфекции. График отбора проб будет зависеть от типа используемого процесса дезинфекции. Каждый аппарат должен быть отобран по крайней мере один раз в год, и различные аппараты должны быть отобраны в каждом случае. Чаще всего применяется ежемесячное наблюдение.</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c) нет необходимости отбирать пробы ультрачистого диализирующего раствора или замещающего раствора, если их производственные пути оснащены бактериальными и эндотоксиновыми фильтрами, утвержденными изготовителем и эксплуатируемыми и контролируемыми в соответствии с инструкциями изготовителя. Может возникнуть необходимость отбора проб диализирующего раствора, поступающего в такие бактериальные и эндотоксиновые фильтры, в зависимости от инструкций изготовителя по использованию фильтров; например, когда в инструкции по применению указано качество раствора, поступающего в фильтр, (см. также приложения D и Е.)</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Результаты испытания должны быть подвергнуты трендовому анализу. Когда результаты превышают уровни действия, или в случае пирогенной реакции пациента или подозрения на бактериемию/фунгемию: следует начать расследование и последующий контроль. Это исследование может включать дополнительный отбор проб и дополнительные процедуры дезинфекции, проводимые в соответствии с рекомендациями изготовителя. </w:t>
      </w:r>
    </w:p>
    <w:p w:rsidR="002F1F96" w:rsidRDefault="002F1F96" w:rsidP="002F1F96">
      <w:pPr>
        <w:pStyle w:val="Style15"/>
        <w:widowControl/>
        <w:ind w:firstLine="567"/>
        <w:rPr>
          <w:rStyle w:val="FontStyle54"/>
          <w:rFonts w:ascii="Times New Roman" w:hAnsi="Times New Roman" w:cs="Times New Roman"/>
          <w:sz w:val="24"/>
          <w:lang w:val="kk-KZ" w:eastAsia="en-US"/>
        </w:rPr>
      </w:pP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8.3.2 Отбор проб</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8.3.2.1 Места отбора проб воды для диализа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Отбор проб производится на выходе распределительной системы в соответствии с инструкциями по отбору проб, предоставленными изготовителем.</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 отсутствие инструкций изготовителя для обеспечения того, чтобы взятый образец не был загрязнен каким-либо микробным ростом в месте отбора пробы, могут использоваться следующие меры: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 любой шланг, прикрепленный к точке отбора проб, должен быть удален. Порт следует очистить стерильной марлей или ватным тампоном, смоченным спиртом. Не следует использовать отбеливатель или другие дезинфицирующие растворы. Пробоотборное отверстие открывается, и жидкости разрешается стекать в отходы в </w:t>
      </w:r>
      <w:r w:rsidRPr="002F1F96">
        <w:rPr>
          <w:rStyle w:val="FontStyle54"/>
          <w:rFonts w:ascii="Times New Roman" w:hAnsi="Times New Roman" w:cs="Times New Roman"/>
          <w:sz w:val="24"/>
          <w:lang w:val="kk-KZ" w:eastAsia="en-US"/>
        </w:rPr>
        <w:lastRenderedPageBreak/>
        <w:t>течение не менее 60 секунд, если только в инструкциях по использованию изготовителя порта не указано иное, до асептического сбора пробы. Объем собранной пробы должен составлять от 5 мл до 1000 мл в зависимости от проводимого испытания и/или в соответствии с требованиями лаборатории, проводящей испытание. Контейнеры, используемые для культивирования образцов, должны быть стерильными и не содержать эндотоксинов.</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могут использоваться и другие методы отбора проб при условии, что они прошли валидацию. </w:t>
      </w:r>
    </w:p>
    <w:p w:rsidR="002F1F96" w:rsidRPr="002F1F96" w:rsidRDefault="002F1F96" w:rsidP="002F1F96">
      <w:pPr>
        <w:pStyle w:val="Style15"/>
        <w:widowControl/>
        <w:ind w:firstLine="567"/>
        <w:rPr>
          <w:rStyle w:val="FontStyle54"/>
          <w:rFonts w:ascii="Times New Roman" w:hAnsi="Times New Roman" w:cs="Times New Roman"/>
          <w:b/>
          <w:sz w:val="24"/>
          <w:lang w:val="kk-KZ" w:eastAsia="en-US"/>
        </w:rPr>
      </w:pPr>
      <w:r w:rsidRPr="002F1F96">
        <w:rPr>
          <w:rStyle w:val="FontStyle54"/>
          <w:rFonts w:ascii="Times New Roman" w:hAnsi="Times New Roman" w:cs="Times New Roman"/>
          <w:b/>
          <w:sz w:val="24"/>
          <w:lang w:val="kk-KZ" w:eastAsia="en-US"/>
        </w:rPr>
        <w:t>8.3.2.2 Образцы диализирующего раствора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Пробы должны отбираться из линии подачи диализирующего раствора в соответствии с инструкциями по отбору проб, предоставленными изготовителем системы подачи диализирующего раствора. Если это не указано, то наружная поверхность порта образца (а не просвет) может быть продезинфицирована путем протирания спиртом, 70 %-ным этанолом или изопропанолом (изопропиловым спиртом). Не следует использовать отбеливатель или другие дезинфицирующие растворы. Образец не следует отбирать до тех пор; пока весь спирт не испарится, чтобы не оставить в образце остатков дезинфицирующего средства.</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Объем собранной пробы должен составлять от 5 мл до 1000 мл в зависимости от проводимого испытания и/или в соответствии с требованиями лаборатории, проводящей испытание.</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Контейнеры, используемые для культивирования образцов, должны быть стерильными и не содержать эндотоксинов.</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Примечание - Если система подачи диализирующего раствора оснащена отверстием для отбора проб диализирующего раствора, доступ к которому можно получить с помощью шприца, то отверстие для отбора проб можно продезинфицировать спиртом и дать ему высохнуть на воздухе. Стерильный шприц следует использовать для аспирации не менее 10 мл диализирующего раствора из пробоотборного отверстия. Заполненный шприц выбрасывается, и свежий образец диализирующего раствора собирается с помощью нового стерильного шприца. Для пробоотборных отверстий, состоящих из простой перегородки, пронизанной иглой, использование второго шприца не требуется. В качестве альтернативы, если позволяет аппарат для диализа, образцы могут быть собраны сразу после диализатора путем отсоединения соединителя сточных вод и асептического сбора «свободного/чистого» образца после того, как диализирующий раствор будет работать в течение не менее 60 секунд.</w:t>
      </w:r>
    </w:p>
    <w:p w:rsidR="002F1F96" w:rsidRPr="002859D3" w:rsidRDefault="002F1F96" w:rsidP="002F1F96">
      <w:pPr>
        <w:pStyle w:val="Style15"/>
        <w:widowControl/>
        <w:ind w:firstLine="567"/>
        <w:rPr>
          <w:rStyle w:val="FontStyle54"/>
          <w:rFonts w:ascii="Times New Roman" w:hAnsi="Times New Roman" w:cs="Times New Roman"/>
          <w:b/>
          <w:sz w:val="24"/>
          <w:lang w:val="kk-KZ" w:eastAsia="en-US"/>
        </w:rPr>
      </w:pPr>
      <w:r w:rsidRPr="002859D3">
        <w:rPr>
          <w:rStyle w:val="FontStyle54"/>
          <w:rFonts w:ascii="Times New Roman" w:hAnsi="Times New Roman" w:cs="Times New Roman"/>
          <w:b/>
          <w:sz w:val="24"/>
          <w:lang w:val="kk-KZ" w:eastAsia="en-US"/>
        </w:rPr>
        <w:t>8.3.3 Подсчет гетеротрофных бактерий</w:t>
      </w:r>
    </w:p>
    <w:p w:rsidR="002F1F96" w:rsidRPr="002859D3" w:rsidRDefault="002F1F96" w:rsidP="002F1F96">
      <w:pPr>
        <w:pStyle w:val="Style15"/>
        <w:widowControl/>
        <w:ind w:firstLine="567"/>
        <w:rPr>
          <w:rStyle w:val="FontStyle54"/>
          <w:rFonts w:ascii="Times New Roman" w:hAnsi="Times New Roman" w:cs="Times New Roman"/>
          <w:b/>
          <w:sz w:val="24"/>
          <w:lang w:val="kk-KZ" w:eastAsia="en-US"/>
        </w:rPr>
      </w:pPr>
      <w:r w:rsidRPr="002859D3">
        <w:rPr>
          <w:rStyle w:val="FontStyle54"/>
          <w:rFonts w:ascii="Times New Roman" w:hAnsi="Times New Roman" w:cs="Times New Roman"/>
          <w:b/>
          <w:sz w:val="24"/>
          <w:lang w:val="kk-KZ" w:eastAsia="en-US"/>
        </w:rPr>
        <w:t>8.3.3.1 Хранение образцов</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Микробиологический анализ любого образца раствора должен проводиться как можно скорее после сбора, чтобы избежать непредсказуемых изменений в микробной популяции. Образцы, предназначенные для подсчета количества колоний, не должны замораживаться, а должны храниться при температуре &lt;</w:t>
      </w:r>
      <w:r w:rsidR="002859D3">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10 °С до тех пор, пока они не будут готовы к отправке или сбору лабораторией. Если образцы не могут быть проанализированы в течение 4 ч после сбора, их следует хранить при температуре &lt;</w:t>
      </w:r>
      <w:r w:rsidR="002859D3">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10 °С. Следует избегать хранения образцов более 24 ч.</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Хранение образцов для анализа эндотоксинов может отличаться от приведенного выше, при условии, что вся процедура соответствует инструкциям изготовителя по использованию анализа LAL.</w:t>
      </w:r>
    </w:p>
    <w:p w:rsidR="002859D3" w:rsidRDefault="002859D3" w:rsidP="002F1F96">
      <w:pPr>
        <w:pStyle w:val="Style15"/>
        <w:widowControl/>
        <w:ind w:firstLine="567"/>
        <w:rPr>
          <w:rStyle w:val="FontStyle54"/>
          <w:rFonts w:ascii="Times New Roman" w:hAnsi="Times New Roman" w:cs="Times New Roman"/>
          <w:sz w:val="24"/>
          <w:lang w:val="kk-KZ" w:eastAsia="en-US"/>
        </w:rPr>
      </w:pPr>
    </w:p>
    <w:p w:rsidR="002859D3" w:rsidRDefault="002859D3" w:rsidP="002F1F96">
      <w:pPr>
        <w:pStyle w:val="Style15"/>
        <w:widowControl/>
        <w:ind w:firstLine="567"/>
        <w:rPr>
          <w:rStyle w:val="FontStyle54"/>
          <w:rFonts w:ascii="Times New Roman" w:hAnsi="Times New Roman" w:cs="Times New Roman"/>
          <w:sz w:val="24"/>
          <w:lang w:val="kk-KZ" w:eastAsia="en-US"/>
        </w:rPr>
      </w:pPr>
    </w:p>
    <w:p w:rsidR="002859D3" w:rsidRDefault="002859D3" w:rsidP="002F1F96">
      <w:pPr>
        <w:pStyle w:val="Style15"/>
        <w:widowControl/>
        <w:ind w:firstLine="567"/>
        <w:rPr>
          <w:rStyle w:val="FontStyle54"/>
          <w:rFonts w:ascii="Times New Roman" w:hAnsi="Times New Roman" w:cs="Times New Roman"/>
          <w:sz w:val="24"/>
          <w:lang w:val="kk-KZ" w:eastAsia="en-US"/>
        </w:rPr>
      </w:pPr>
    </w:p>
    <w:p w:rsidR="002859D3" w:rsidRPr="002F1F96" w:rsidRDefault="002859D3" w:rsidP="002F1F96">
      <w:pPr>
        <w:pStyle w:val="Style15"/>
        <w:widowControl/>
        <w:ind w:firstLine="567"/>
        <w:rPr>
          <w:rStyle w:val="FontStyle54"/>
          <w:rFonts w:ascii="Times New Roman" w:hAnsi="Times New Roman" w:cs="Times New Roman"/>
          <w:sz w:val="24"/>
          <w:lang w:val="kk-KZ" w:eastAsia="en-US"/>
        </w:rPr>
      </w:pPr>
    </w:p>
    <w:p w:rsidR="002F1F96" w:rsidRPr="002859D3" w:rsidRDefault="002F1F96" w:rsidP="002F1F96">
      <w:pPr>
        <w:pStyle w:val="Style15"/>
        <w:widowControl/>
        <w:ind w:firstLine="567"/>
        <w:rPr>
          <w:rStyle w:val="FontStyle54"/>
          <w:rFonts w:ascii="Times New Roman" w:hAnsi="Times New Roman" w:cs="Times New Roman"/>
          <w:b/>
          <w:sz w:val="24"/>
          <w:lang w:val="kk-KZ" w:eastAsia="en-US"/>
        </w:rPr>
      </w:pPr>
      <w:r w:rsidRPr="002859D3">
        <w:rPr>
          <w:rStyle w:val="FontStyle54"/>
          <w:rFonts w:ascii="Times New Roman" w:hAnsi="Times New Roman" w:cs="Times New Roman"/>
          <w:b/>
          <w:sz w:val="24"/>
          <w:lang w:val="kk-KZ" w:eastAsia="en-US"/>
        </w:rPr>
        <w:lastRenderedPageBreak/>
        <w:t xml:space="preserve">8.3.3.2 Аналитические методы </w:t>
      </w:r>
    </w:p>
    <w:p w:rsidR="002F1F96" w:rsidRPr="002859D3" w:rsidRDefault="002F1F96" w:rsidP="002F1F96">
      <w:pPr>
        <w:pStyle w:val="Style15"/>
        <w:widowControl/>
        <w:ind w:firstLine="567"/>
        <w:rPr>
          <w:rStyle w:val="FontStyle54"/>
          <w:rFonts w:ascii="Times New Roman" w:hAnsi="Times New Roman" w:cs="Times New Roman"/>
          <w:b/>
          <w:sz w:val="24"/>
          <w:lang w:val="kk-KZ" w:eastAsia="en-US"/>
        </w:rPr>
      </w:pPr>
      <w:r w:rsidRPr="002859D3">
        <w:rPr>
          <w:rStyle w:val="FontStyle54"/>
          <w:rFonts w:ascii="Times New Roman" w:hAnsi="Times New Roman" w:cs="Times New Roman"/>
          <w:b/>
          <w:sz w:val="24"/>
          <w:lang w:val="kk-KZ" w:eastAsia="en-US"/>
        </w:rPr>
        <w:t>8.3.3.2.1 Мембранная фильтрация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Рекомендуемые методы (например, мембранная фильтрация, поверхностный метод, чашечный метод), среды и инкубационные диапазоны позволяют каждому диализному центру разработать программу контроля, соответствующую их отделению.</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Выбранная питательная среда и время инкубации должны основываться на типе анализируемой жидкости, например стандартный диализирующий раствор, вода, используемая для приготовления стандартного диализирующего раствора, ультрачистый диализирующий раствор, вода, используемая для приготовления ультрачистого диализирующего раствора, или раствор, используемый для терапии в режиме реального времени, такой как гемодиафильтрация. Выбранный метод должен основываться на анализе преимуществ, недостатков и чувствительности каждого из предложенных методов. Он также должен обеспечить пациенту необходимые гарантии в рамках любых ограничений, налагаемых местной лабораторной практикой работы и возмещением расходов.</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Мембранная фильтрация - это фильтрация образца через мембранный фильтр с диаметром пор 0,45 мкм или менее. Мембранная фильтрация - это метод, используемый, когда образец должен быть сконцентрирован для обнаружения низких уровней загрязнения (обычно &lt;1 КОЕ/мл), а также может быть использован для количественного определения дрожжей и нитевидных грибов, если это потребуется. Объем, подлежащий фильтрации, должен определяться предполагаемым уровнем загрязнения и должен составлять от 10 мл до 1000 мл.</w:t>
      </w:r>
    </w:p>
    <w:p w:rsidR="00C143DC" w:rsidRPr="002F1F96" w:rsidRDefault="00C143DC" w:rsidP="002F1F96">
      <w:pPr>
        <w:pStyle w:val="Style15"/>
        <w:widowControl/>
        <w:ind w:firstLine="567"/>
        <w:rPr>
          <w:rStyle w:val="FontStyle54"/>
          <w:rFonts w:ascii="Times New Roman" w:hAnsi="Times New Roman" w:cs="Times New Roman"/>
          <w:sz w:val="24"/>
          <w:lang w:val="kk-KZ" w:eastAsia="en-US"/>
        </w:rPr>
      </w:pPr>
    </w:p>
    <w:p w:rsidR="00C143DC" w:rsidRPr="00C143DC" w:rsidRDefault="002F1F96" w:rsidP="002F1F96">
      <w:pPr>
        <w:pStyle w:val="Style15"/>
        <w:widowControl/>
        <w:ind w:firstLine="567"/>
        <w:rPr>
          <w:rStyle w:val="FontStyle54"/>
          <w:rFonts w:ascii="Times New Roman" w:hAnsi="Times New Roman" w:cs="Times New Roman"/>
          <w:sz w:val="20"/>
          <w:szCs w:val="20"/>
          <w:lang w:val="kk-KZ" w:eastAsia="en-US"/>
        </w:rPr>
      </w:pPr>
      <w:r w:rsidRPr="00C143DC">
        <w:rPr>
          <w:rStyle w:val="FontStyle54"/>
          <w:rFonts w:ascii="Times New Roman" w:hAnsi="Times New Roman" w:cs="Times New Roman"/>
          <w:sz w:val="20"/>
          <w:szCs w:val="20"/>
          <w:lang w:val="kk-KZ" w:eastAsia="en-US"/>
        </w:rPr>
        <w:t xml:space="preserve">Примечание </w:t>
      </w:r>
      <w:r w:rsidR="00C143DC" w:rsidRPr="00C143DC">
        <w:rPr>
          <w:rStyle w:val="FontStyle54"/>
          <w:rFonts w:ascii="Times New Roman" w:hAnsi="Times New Roman" w:cs="Times New Roman"/>
          <w:sz w:val="20"/>
          <w:szCs w:val="20"/>
          <w:lang w:val="kk-KZ" w:eastAsia="en-US"/>
        </w:rPr>
        <w:t>–</w:t>
      </w:r>
      <w:r w:rsidRPr="00C143DC">
        <w:rPr>
          <w:rStyle w:val="FontStyle54"/>
          <w:rFonts w:ascii="Times New Roman" w:hAnsi="Times New Roman" w:cs="Times New Roman"/>
          <w:sz w:val="20"/>
          <w:szCs w:val="20"/>
          <w:lang w:val="kk-KZ" w:eastAsia="en-US"/>
        </w:rPr>
        <w:t xml:space="preserve"> Альтернативные методы мембранной фильтрации могут использоваться при условии, что они были надлежащим образом проверены и сопоставимы с аналитическими методами, описанными в этом разделе.</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w:t>
      </w: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8.3.3.2.2 Поверхностный метод</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Пипетка используется для нанесения 0,1 мл на 0,3 мл образца в чашку Петри (обычно диаметром 90 мм), содержащую агаровую среду, и распространения ее по поверхности агара. Предел обнаружения этого метода составляет 5 КОЕ/мл, когда в качестве инокулята используется 0,2 мл образца.</w:t>
      </w:r>
    </w:p>
    <w:p w:rsidR="00C143DC" w:rsidRPr="002F1F96" w:rsidRDefault="00C143DC" w:rsidP="002F1F96">
      <w:pPr>
        <w:pStyle w:val="Style15"/>
        <w:widowControl/>
        <w:ind w:firstLine="567"/>
        <w:rPr>
          <w:rStyle w:val="FontStyle54"/>
          <w:rFonts w:ascii="Times New Roman" w:hAnsi="Times New Roman" w:cs="Times New Roman"/>
          <w:sz w:val="24"/>
          <w:lang w:val="kk-KZ" w:eastAsia="en-US"/>
        </w:rPr>
      </w:pP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 xml:space="preserve">Примечание </w:t>
      </w:r>
      <w:r w:rsidR="00C143DC" w:rsidRPr="00C143DC">
        <w:rPr>
          <w:rStyle w:val="FontStyle54"/>
          <w:rFonts w:ascii="Times New Roman" w:hAnsi="Times New Roman" w:cs="Times New Roman"/>
          <w:b/>
          <w:sz w:val="24"/>
          <w:lang w:val="kk-KZ" w:eastAsia="en-US"/>
        </w:rPr>
        <w:t>–</w:t>
      </w:r>
      <w:r w:rsidRPr="00C143DC">
        <w:rPr>
          <w:rStyle w:val="FontStyle54"/>
          <w:rFonts w:ascii="Times New Roman" w:hAnsi="Times New Roman" w:cs="Times New Roman"/>
          <w:b/>
          <w:sz w:val="24"/>
          <w:lang w:val="kk-KZ" w:eastAsia="en-US"/>
        </w:rPr>
        <w:t xml:space="preserve"> Могут появиться новые методы. Такие методы могут использоваться при условии, что они были надлежащим образом проверены и сопоставимы с аналитическими методами, изложенными в настоящем подпункте.</w:t>
      </w:r>
    </w:p>
    <w:p w:rsidR="00C143DC" w:rsidRPr="002F1F96" w:rsidRDefault="00C143DC" w:rsidP="002F1F96">
      <w:pPr>
        <w:pStyle w:val="Style15"/>
        <w:widowControl/>
        <w:ind w:firstLine="567"/>
        <w:rPr>
          <w:rStyle w:val="FontStyle54"/>
          <w:rFonts w:ascii="Times New Roman" w:hAnsi="Times New Roman" w:cs="Times New Roman"/>
          <w:sz w:val="24"/>
          <w:lang w:val="kk-KZ" w:eastAsia="en-US"/>
        </w:rPr>
      </w:pP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8.3.3.2.3 Чашечный метод</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Образец (обычно 1 мл) помещают в чашку Петри и добавляют от 15 до 20 мл расплавленной среды. Образец и среда тщательно перемешиваются мягким вращением и дают застыть. Время между добавлением образца и добавлением расплавленной среды не должно превышать 15 мин. Пластинку переворачивают и инкубируют. Если используется 1 мл пробы, то предел обнаружения этого метода составляет 1 КОЕ/мл.</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Расплавленная среда должна быть &lt;</w:t>
      </w:r>
      <w:r w:rsidR="00C143DC">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45 °С в момент заливки пластины.</w:t>
      </w:r>
    </w:p>
    <w:p w:rsidR="00C143DC" w:rsidRPr="002F1F96" w:rsidRDefault="00C143DC" w:rsidP="002F1F96">
      <w:pPr>
        <w:pStyle w:val="Style15"/>
        <w:widowControl/>
        <w:ind w:firstLine="567"/>
        <w:rPr>
          <w:rStyle w:val="FontStyle54"/>
          <w:rFonts w:ascii="Times New Roman" w:hAnsi="Times New Roman" w:cs="Times New Roman"/>
          <w:sz w:val="24"/>
          <w:lang w:val="kk-KZ" w:eastAsia="en-US"/>
        </w:rPr>
      </w:pPr>
    </w:p>
    <w:p w:rsidR="002F1F96" w:rsidRPr="00C143DC" w:rsidRDefault="002F1F96" w:rsidP="002F1F96">
      <w:pPr>
        <w:pStyle w:val="Style15"/>
        <w:widowControl/>
        <w:ind w:firstLine="567"/>
        <w:rPr>
          <w:rStyle w:val="FontStyle54"/>
          <w:rFonts w:ascii="Times New Roman" w:hAnsi="Times New Roman" w:cs="Times New Roman"/>
          <w:sz w:val="20"/>
          <w:szCs w:val="20"/>
          <w:lang w:val="kk-KZ" w:eastAsia="en-US"/>
        </w:rPr>
      </w:pPr>
      <w:r w:rsidRPr="00C143DC">
        <w:rPr>
          <w:rStyle w:val="FontStyle54"/>
          <w:rFonts w:ascii="Times New Roman" w:hAnsi="Times New Roman" w:cs="Times New Roman"/>
          <w:sz w:val="20"/>
          <w:szCs w:val="20"/>
          <w:lang w:val="kk-KZ" w:eastAsia="en-US"/>
        </w:rPr>
        <w:t xml:space="preserve">Примечание </w:t>
      </w:r>
      <w:r w:rsidR="00C143DC" w:rsidRPr="00C143DC">
        <w:rPr>
          <w:rStyle w:val="FontStyle54"/>
          <w:rFonts w:ascii="Times New Roman" w:hAnsi="Times New Roman" w:cs="Times New Roman"/>
          <w:sz w:val="20"/>
          <w:szCs w:val="20"/>
          <w:lang w:val="kk-KZ" w:eastAsia="en-US"/>
        </w:rPr>
        <w:t>–</w:t>
      </w:r>
      <w:r w:rsidRPr="00C143DC">
        <w:rPr>
          <w:rStyle w:val="FontStyle54"/>
          <w:rFonts w:ascii="Times New Roman" w:hAnsi="Times New Roman" w:cs="Times New Roman"/>
          <w:sz w:val="20"/>
          <w:szCs w:val="20"/>
          <w:lang w:val="kk-KZ" w:eastAsia="en-US"/>
        </w:rPr>
        <w:t xml:space="preserve"> Могут появиться новые методы. Такие методы могут использоваться при условии, что они были надлежащим образом проверены и сопоставимы с аналитическими методами, изложенными в настоящем подпункте.</w:t>
      </w:r>
    </w:p>
    <w:p w:rsidR="00C143DC" w:rsidRDefault="00C143DC" w:rsidP="002F1F96">
      <w:pPr>
        <w:pStyle w:val="Style15"/>
        <w:widowControl/>
        <w:ind w:firstLine="567"/>
        <w:rPr>
          <w:rStyle w:val="FontStyle54"/>
          <w:rFonts w:ascii="Times New Roman" w:hAnsi="Times New Roman" w:cs="Times New Roman"/>
          <w:sz w:val="24"/>
          <w:lang w:val="kk-KZ" w:eastAsia="en-US"/>
        </w:rPr>
      </w:pPr>
    </w:p>
    <w:p w:rsidR="00C143DC" w:rsidRDefault="00C143DC" w:rsidP="002F1F96">
      <w:pPr>
        <w:pStyle w:val="Style15"/>
        <w:widowControl/>
        <w:ind w:firstLine="567"/>
        <w:rPr>
          <w:rStyle w:val="FontStyle54"/>
          <w:rFonts w:ascii="Times New Roman" w:hAnsi="Times New Roman" w:cs="Times New Roman"/>
          <w:sz w:val="24"/>
          <w:lang w:val="kk-KZ" w:eastAsia="en-US"/>
        </w:rPr>
      </w:pPr>
    </w:p>
    <w:p w:rsidR="00C143DC" w:rsidRPr="002F1F96" w:rsidRDefault="00C143DC" w:rsidP="002F1F96">
      <w:pPr>
        <w:pStyle w:val="Style15"/>
        <w:widowControl/>
        <w:ind w:firstLine="567"/>
        <w:rPr>
          <w:rStyle w:val="FontStyle54"/>
          <w:rFonts w:ascii="Times New Roman" w:hAnsi="Times New Roman" w:cs="Times New Roman"/>
          <w:sz w:val="24"/>
          <w:lang w:val="kk-KZ" w:eastAsia="en-US"/>
        </w:rPr>
      </w:pP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lastRenderedPageBreak/>
        <w:t>8.3.3.2.4 Погружные пробоотборники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Имеющиеся в настоящее время погружные пробоотборники не подходят для использования в системах диализа.</w:t>
      </w: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8.3.3.3 Методы и условия культивирования</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Рекомендуемые методы и условия культивирования можно найти в ISO 23500-3, </w:t>
      </w:r>
      <w:r w:rsidR="00C143DC">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ISO 23500-4 и ISO 23500-5. Методологии используют триптоноглюкозный агар (tryptone glucose extract agar, TGEA) или агар Reasoner 2A (R2A), который инкубируют при температуре от 17 до 23 °С в течение 7 дней, или триптический соевый агар (TSA), отрый инкубировали при 35 °С в течение 48 часов: для культивирования стандартного диализирующего раствора и воды для диализа. Обоснование использования TSA и его включение разъясняется в ISO 23500-3:2019, приложение А (А.З микробиология воды).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Результаты культивирования, полученные с использованием описанных методов, являются лишь относительным показателем бионагрузки, и не дают измерения абсолютной бактериальной нагрузки. Различные типы сред и инкубационные периоды могут приводить к различным концентрациям колоний и типам выделяемых микроорганизмов [10], [11]. [12].</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 более ранних исследованиях сообщалось, что использование агара Reasoner 2А (R2A) приводит к более высокому количеству колоний, чем триптического соевого агара (TSA) для проб воды и диализирующих растворов [11], [12], [13]. В более поздней публикации авторы указали, что не было никаких существенных различий при сравнении бактериальной нагрузки в стандартной воде для диализа и стандартном диализирующем растворе с использованием &gt;50 КОЕ/мл в качестве предела действия при анализе с использованием R2A и TSA в условиях, указанных выше [11].</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Триптоноглюкозный экстрагированный агар (TGEA) также послужил источником более высокого количества колоний, чем TSA. [10] Maltais и др. [11] при сравнении этой среды с TSA показали, что доля стандартных образцов воды для диализа, дающих количество колоний &gt;</w:t>
      </w:r>
      <w:r w:rsidR="00C143DC">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50 КОЕ/мл, существенно отличалась от таковой, найденной с использованием TSA (Р = 0,001), причем каждая среда использовала соответствующие условия инкубации, указанные выше. Пропорции образцов диализирующего раствора, в которых микробная нагрузка составляла &gt;</w:t>
      </w:r>
      <w:r w:rsidR="00C143DC">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50 КОЕ/мл, существенно не различались в зависимости от среды и условий инкубации.</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Выбранная питательная среда и условия метода анализа должны основываться на типе анализируемой жидкости: вода для диализа, стандартный диализирующий раствор, ультрачистый диализирующий раствор или замещающий раствор, используемая для терапии в режиме реального времени, такой как гемодиафильтрация, и цели анализа. Она также должна обеспечивать безопасность пациентов и учитывать местную практику лабораторной работы, а также возможность соблюдения местных правил и требований к возмещению расходов. </w:t>
      </w: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8.3.4 Испытание на бактериальные эндотоксины</w:t>
      </w:r>
    </w:p>
    <w:p w:rsidR="002F1F96" w:rsidRP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Бактериальные эндотоксины анализируются с помощью теста Limulus amoebocyte lysate (LAL). Современные фармакопеи [Соединенные Штаты (USP), европейские и японские фармакопеи] признают шесть различных методов испытания.</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Испытание на эндотоксины требует обучения и должно проводиться полностью обученным персоналом. Испытания должны проводиться в соответствии с официальными применимыми требованиями и инструкциями изготовителя.</w:t>
      </w:r>
    </w:p>
    <w:p w:rsidR="00C143DC" w:rsidRPr="002F1F96" w:rsidRDefault="00C143DC" w:rsidP="002F1F96">
      <w:pPr>
        <w:pStyle w:val="Style15"/>
        <w:widowControl/>
        <w:ind w:firstLine="567"/>
        <w:rPr>
          <w:rStyle w:val="FontStyle54"/>
          <w:rFonts w:ascii="Times New Roman" w:hAnsi="Times New Roman" w:cs="Times New Roman"/>
          <w:sz w:val="24"/>
          <w:lang w:val="kk-KZ" w:eastAsia="en-US"/>
        </w:rPr>
      </w:pPr>
    </w:p>
    <w:p w:rsidR="002F1F96" w:rsidRDefault="002F1F96" w:rsidP="002F1F96">
      <w:pPr>
        <w:pStyle w:val="Style15"/>
        <w:widowControl/>
        <w:ind w:firstLine="567"/>
        <w:rPr>
          <w:rStyle w:val="FontStyle54"/>
          <w:rFonts w:ascii="Times New Roman" w:hAnsi="Times New Roman" w:cs="Times New Roman"/>
          <w:sz w:val="20"/>
          <w:szCs w:val="20"/>
          <w:lang w:val="kk-KZ" w:eastAsia="en-US"/>
        </w:rPr>
      </w:pPr>
      <w:r w:rsidRPr="00C143DC">
        <w:rPr>
          <w:rStyle w:val="FontStyle54"/>
          <w:rFonts w:ascii="Times New Roman" w:hAnsi="Times New Roman" w:cs="Times New Roman"/>
          <w:sz w:val="20"/>
          <w:szCs w:val="20"/>
          <w:lang w:val="kk-KZ" w:eastAsia="en-US"/>
        </w:rPr>
        <w:t xml:space="preserve">Примечание </w:t>
      </w:r>
      <w:r w:rsidR="00C143DC">
        <w:rPr>
          <w:rStyle w:val="FontStyle54"/>
          <w:rFonts w:ascii="Times New Roman" w:hAnsi="Times New Roman" w:cs="Times New Roman"/>
          <w:sz w:val="20"/>
          <w:szCs w:val="20"/>
          <w:lang w:val="kk-KZ" w:eastAsia="en-US"/>
        </w:rPr>
        <w:t>–</w:t>
      </w:r>
      <w:r w:rsidRPr="00C143DC">
        <w:rPr>
          <w:rStyle w:val="FontStyle54"/>
          <w:rFonts w:ascii="Times New Roman" w:hAnsi="Times New Roman" w:cs="Times New Roman"/>
          <w:sz w:val="20"/>
          <w:szCs w:val="20"/>
          <w:lang w:val="kk-KZ" w:eastAsia="en-US"/>
        </w:rPr>
        <w:t xml:space="preserve"> Важно использовать правильные типы контейнеров для образцов, маркированных или валидированных для хранения образцов эндотоксинов. Соответствующие контейнеры обычно определяются испытательной лабораторией или изготовителем комплекта для тестирования LAL.</w:t>
      </w:r>
    </w:p>
    <w:p w:rsidR="00C143DC" w:rsidRPr="00C143DC" w:rsidRDefault="00C143DC" w:rsidP="002F1F96">
      <w:pPr>
        <w:pStyle w:val="Style15"/>
        <w:widowControl/>
        <w:ind w:firstLine="567"/>
        <w:rPr>
          <w:rStyle w:val="FontStyle54"/>
          <w:rFonts w:ascii="Times New Roman" w:hAnsi="Times New Roman" w:cs="Times New Roman"/>
          <w:sz w:val="20"/>
          <w:szCs w:val="20"/>
          <w:lang w:val="kk-KZ" w:eastAsia="en-US"/>
        </w:rPr>
      </w:pPr>
    </w:p>
    <w:p w:rsidR="002F1F96" w:rsidRPr="00C143DC" w:rsidRDefault="002F1F96" w:rsidP="002F1F96">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lastRenderedPageBreak/>
        <w:t>8.3.5 Определение содержания дрожжей и плесени</w:t>
      </w:r>
    </w:p>
    <w:p w:rsidR="002F1F96" w:rsidRDefault="002F1F96" w:rsidP="002F1F96">
      <w:pPr>
        <w:pStyle w:val="Style15"/>
        <w:widowControl/>
        <w:ind w:firstLine="567"/>
        <w:rPr>
          <w:rStyle w:val="FontStyle54"/>
          <w:rFonts w:ascii="Times New Roman" w:hAnsi="Times New Roman" w:cs="Times New Roman"/>
          <w:sz w:val="24"/>
          <w:lang w:val="kk-KZ" w:eastAsia="en-US"/>
        </w:rPr>
      </w:pPr>
      <w:r w:rsidRPr="002F1F96">
        <w:rPr>
          <w:rStyle w:val="FontStyle54"/>
          <w:rFonts w:ascii="Times New Roman" w:hAnsi="Times New Roman" w:cs="Times New Roman"/>
          <w:sz w:val="24"/>
          <w:lang w:val="kk-KZ" w:eastAsia="en-US"/>
        </w:rPr>
        <w:t xml:space="preserve">В настоящее время нет никаких требований к регулярному контролю за дрожжами и плесенью. Если требуется количественное определение таких видов, то в качестве питательной среды следует использовать агар Сабуро или солодового экстракта с </w:t>
      </w:r>
      <w:r w:rsidR="00C143DC">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 xml:space="preserve">7-дневным инкубационным периодом при температуре от 20 до 22 °С. альтернативные методы, валидированные в отношении агара Сабуро или солодового экстракта с </w:t>
      </w:r>
      <w:r w:rsidR="00C143DC">
        <w:rPr>
          <w:rStyle w:val="FontStyle54"/>
          <w:rFonts w:ascii="Times New Roman" w:hAnsi="Times New Roman" w:cs="Times New Roman"/>
          <w:sz w:val="24"/>
          <w:lang w:val="kk-KZ" w:eastAsia="en-US"/>
        </w:rPr>
        <w:t xml:space="preserve">                           </w:t>
      </w:r>
      <w:r w:rsidRPr="002F1F96">
        <w:rPr>
          <w:rStyle w:val="FontStyle54"/>
          <w:rFonts w:ascii="Times New Roman" w:hAnsi="Times New Roman" w:cs="Times New Roman"/>
          <w:sz w:val="24"/>
          <w:lang w:val="kk-KZ" w:eastAsia="en-US"/>
        </w:rPr>
        <w:t>7-дневным инкубационным периодом при температуре от 20 до 22 °С, также могут быть использованы при условии, что было продемонстрировано, что такие методы были надлежащим образом валидированы и сопоставимы с приведенными методами.</w:t>
      </w:r>
    </w:p>
    <w:p w:rsidR="00C143DC" w:rsidRDefault="00C143DC" w:rsidP="002F1F96">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9 Расположение и доступ к системе водоподготовки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Система очистки и хранения воды должна быть расположена в защищенном запертом помещении, доступном только для персонала, уполномоченного отделением диализа. Обновленный список с контактными данными должен храниться централизованно. Запасные ключи от объекта должны храниться в надежном месте.</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Место для установки системы водоподготовки должно быть выбрано таким образом, чтобы свести к минимуму длину и сложность распределительной системы. Доступ к системе должен быть ограничен лицами, ответственными за надзор и техническое обслуживание системы.</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Компоновка системы водоподготовки должна обеспечивать легкий доступ ко всем компонентам системы, включая все счетчики, датчики и порты отбора проб, используемые для работы системы контроля. Также рекомендуется создать зону для обработки образцов и проведения испытаний на месте. Критические сигналы тревоги, такие как те, которые связаны с истощением деионизатора или низким уровнем воды в резервуаре для хранения, должны быть сформированы для уведомления персонала в зоне лечения пациента, а также в помещении для водоподготовки.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Системы водоснабжения должны включать в себя принципиальные схемы, определяющие компоненты, клапаны, порты отбора проб и направления потока. Кроме того, трубопроводы должны быть маркированы, чтобы указать содержимое трубки и направление потока. Использование текстовых меток, таких как «RO Water», и цветовой кодировки «arrow tape» обеспечивает удобное средство идентификации содержимого трубы и направления потока. Места отбора проб должны быть помечены как таковые и обозначены на схематических изображениях.</w:t>
      </w: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Если изготовители систем водоснабжения не сделали этого, пользователи должны определить основные компоненты систем водоснабжения и описать их функции. Информация о том как проверяется производительность и какие действия следует предпринять в случае, если производительность не находится в допустимом диапазоне, должна быть легко доступна пользователю.</w:t>
      </w:r>
    </w:p>
    <w:p w:rsid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10 Персонал</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Политика и процедуры, которые понятны и доступны, являются обязательными наряду с учебной программой, которая включает в себя тестирование качества, риски и опасности неправильно приготовленного концентрата и бактериальные проблемы. Операторы должны быть обучены использованию оборудования изготовителем или должны быть обучены использованию материалов, предоставленных изготовителем. Дополнительное обучение может проводиться с использованием материалов из других источников. Обучение должно быть специфичным для выполняемых функций (например, смешивание, дезинфекция, техническое обслуживание и ремонт). Следует проводить </w:t>
      </w:r>
      <w:r w:rsidRPr="00C143DC">
        <w:rPr>
          <w:rStyle w:val="FontStyle54"/>
          <w:rFonts w:ascii="Times New Roman" w:hAnsi="Times New Roman" w:cs="Times New Roman"/>
          <w:sz w:val="24"/>
          <w:lang w:val="kk-KZ" w:eastAsia="en-US"/>
        </w:rPr>
        <w:lastRenderedPageBreak/>
        <w:t>периодические проверки соответствия оператора установленным процедурам. Пользователь должен разработать постоянную учебную программу, предназначенную для поддержания знаний и навыков оператора.</w:t>
      </w:r>
    </w:p>
    <w:p w:rsid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2F1F96" w:rsidRDefault="00C143DC" w:rsidP="00C143DC">
      <w:pPr>
        <w:pStyle w:val="Style15"/>
        <w:widowControl/>
        <w:ind w:firstLine="567"/>
        <w:rPr>
          <w:rStyle w:val="FontStyle54"/>
          <w:rFonts w:ascii="Times New Roman" w:hAnsi="Times New Roman" w:cs="Times New Roman"/>
          <w:sz w:val="24"/>
          <w:lang w:val="kk-KZ" w:eastAsia="en-US"/>
        </w:rPr>
      </w:pPr>
    </w:p>
    <w:p w:rsidR="004636A8" w:rsidRDefault="004636A8" w:rsidP="004636A8">
      <w:pPr>
        <w:pStyle w:val="Style15"/>
        <w:widowControl/>
        <w:ind w:firstLine="0"/>
        <w:jc w:val="center"/>
        <w:rPr>
          <w:rStyle w:val="FontStyle54"/>
          <w:rFonts w:ascii="Times New Roman" w:hAnsi="Times New Roman" w:cs="Times New Roman"/>
          <w:b/>
          <w:sz w:val="24"/>
          <w:lang w:eastAsia="en-US"/>
        </w:rPr>
      </w:pPr>
    </w:p>
    <w:p w:rsidR="004636A8" w:rsidRDefault="004636A8" w:rsidP="002F1F96">
      <w:pPr>
        <w:pStyle w:val="Style15"/>
        <w:widowControl/>
        <w:ind w:firstLine="0"/>
        <w:rPr>
          <w:rStyle w:val="FontStyle54"/>
          <w:rFonts w:ascii="Times New Roman" w:hAnsi="Times New Roman" w:cs="Times New Roman"/>
          <w:b/>
          <w:sz w:val="24"/>
          <w:lang w:eastAsia="en-US"/>
        </w:rPr>
      </w:pPr>
    </w:p>
    <w:p w:rsidR="004636A8" w:rsidRDefault="004636A8" w:rsidP="004636A8">
      <w:pPr>
        <w:pStyle w:val="Style15"/>
        <w:widowControl/>
        <w:ind w:firstLine="0"/>
        <w:jc w:val="center"/>
        <w:rPr>
          <w:rStyle w:val="FontStyle54"/>
          <w:rFonts w:ascii="Times New Roman" w:hAnsi="Times New Roman" w:cs="Times New Roman"/>
          <w:b/>
          <w:sz w:val="24"/>
          <w:lang w:eastAsia="en-US"/>
        </w:rPr>
      </w:pPr>
    </w:p>
    <w:p w:rsidR="004636A8" w:rsidRDefault="004636A8" w:rsidP="004636A8">
      <w:pPr>
        <w:pStyle w:val="Style15"/>
        <w:widowControl/>
        <w:ind w:firstLine="0"/>
        <w:jc w:val="center"/>
        <w:rPr>
          <w:rStyle w:val="FontStyle54"/>
          <w:rFonts w:ascii="Times New Roman" w:hAnsi="Times New Roman" w:cs="Times New Roman"/>
          <w:b/>
          <w:sz w:val="24"/>
          <w:lang w:eastAsia="en-US"/>
        </w:rPr>
      </w:pPr>
    </w:p>
    <w:p w:rsidR="004636A8" w:rsidRDefault="004636A8" w:rsidP="004636A8">
      <w:pPr>
        <w:pStyle w:val="Style15"/>
        <w:widowControl/>
        <w:ind w:firstLine="0"/>
        <w:jc w:val="center"/>
        <w:rPr>
          <w:rStyle w:val="FontStyle54"/>
          <w:rFonts w:ascii="Times New Roman" w:hAnsi="Times New Roman" w:cs="Times New Roman"/>
          <w:b/>
          <w:sz w:val="24"/>
          <w:lang w:eastAsia="en-US"/>
        </w:rPr>
      </w:pPr>
    </w:p>
    <w:p w:rsidR="004636A8" w:rsidRDefault="004636A8"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C143DC" w:rsidRP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BE292F" w:rsidRPr="00BE292F" w:rsidRDefault="00BE292F" w:rsidP="00BE292F">
      <w:pPr>
        <w:pStyle w:val="Style15"/>
        <w:widowControl/>
        <w:ind w:firstLine="0"/>
        <w:jc w:val="center"/>
        <w:rPr>
          <w:rStyle w:val="FontStyle54"/>
          <w:rFonts w:ascii="Times New Roman" w:hAnsi="Times New Roman" w:cs="Times New Roman"/>
          <w:b/>
          <w:sz w:val="24"/>
          <w:lang w:val="kk-KZ" w:eastAsia="en-US"/>
        </w:rPr>
      </w:pPr>
      <w:r w:rsidRPr="00BE292F">
        <w:rPr>
          <w:rStyle w:val="FontStyle54"/>
          <w:rFonts w:ascii="Times New Roman" w:hAnsi="Times New Roman" w:cs="Times New Roman"/>
          <w:b/>
          <w:sz w:val="24"/>
          <w:lang w:val="kk-KZ" w:eastAsia="en-US"/>
        </w:rPr>
        <w:lastRenderedPageBreak/>
        <w:t>Приложение A</w:t>
      </w:r>
    </w:p>
    <w:p w:rsidR="00BE292F" w:rsidRPr="00BE292F" w:rsidRDefault="00BE292F" w:rsidP="00BE292F">
      <w:pPr>
        <w:pStyle w:val="Style15"/>
        <w:widowControl/>
        <w:ind w:firstLine="0"/>
        <w:jc w:val="center"/>
        <w:rPr>
          <w:rStyle w:val="FontStyle54"/>
          <w:rFonts w:ascii="Times New Roman" w:hAnsi="Times New Roman" w:cs="Times New Roman"/>
          <w:i/>
          <w:sz w:val="24"/>
          <w:lang w:val="kk-KZ" w:eastAsia="en-US"/>
        </w:rPr>
      </w:pPr>
      <w:r w:rsidRPr="00BE292F">
        <w:rPr>
          <w:rStyle w:val="FontStyle54"/>
          <w:rFonts w:ascii="Times New Roman" w:hAnsi="Times New Roman" w:cs="Times New Roman"/>
          <w:i/>
          <w:sz w:val="24"/>
          <w:lang w:val="kk-KZ" w:eastAsia="en-US"/>
        </w:rPr>
        <w:t>(информационное)</w:t>
      </w:r>
    </w:p>
    <w:p w:rsidR="00BE292F" w:rsidRPr="00BE292F" w:rsidRDefault="00BE292F" w:rsidP="00BE292F">
      <w:pPr>
        <w:pStyle w:val="Style15"/>
        <w:widowControl/>
        <w:ind w:firstLine="0"/>
        <w:jc w:val="center"/>
        <w:rPr>
          <w:rStyle w:val="FontStyle54"/>
          <w:rFonts w:ascii="Times New Roman" w:hAnsi="Times New Roman" w:cs="Times New Roman"/>
          <w:b/>
          <w:sz w:val="24"/>
          <w:lang w:val="kk-KZ" w:eastAsia="en-US"/>
        </w:rPr>
      </w:pPr>
    </w:p>
    <w:p w:rsidR="00BE292F" w:rsidRDefault="00BE292F" w:rsidP="00BE292F">
      <w:pPr>
        <w:pStyle w:val="Style15"/>
        <w:widowControl/>
        <w:ind w:firstLine="0"/>
        <w:jc w:val="center"/>
        <w:rPr>
          <w:rStyle w:val="FontStyle54"/>
          <w:rFonts w:ascii="Times New Roman" w:hAnsi="Times New Roman" w:cs="Times New Roman"/>
          <w:b/>
          <w:sz w:val="24"/>
          <w:highlight w:val="yellow"/>
          <w:lang w:val="kk-KZ" w:eastAsia="en-US"/>
        </w:rPr>
      </w:pPr>
      <w:r w:rsidRPr="00BE292F">
        <w:rPr>
          <w:rStyle w:val="FontStyle54"/>
          <w:rFonts w:ascii="Times New Roman" w:hAnsi="Times New Roman" w:cs="Times New Roman"/>
          <w:b/>
          <w:sz w:val="24"/>
          <w:lang w:val="kk-KZ" w:eastAsia="en-US"/>
        </w:rPr>
        <w:t>Обоснование разработки и положений настоящего стандарта</w:t>
      </w:r>
    </w:p>
    <w:p w:rsidR="00BE292F" w:rsidRDefault="00BE292F" w:rsidP="004636A8">
      <w:pPr>
        <w:pStyle w:val="Style15"/>
        <w:widowControl/>
        <w:ind w:firstLine="0"/>
        <w:jc w:val="center"/>
        <w:rPr>
          <w:rStyle w:val="FontStyle54"/>
          <w:rFonts w:ascii="Times New Roman" w:hAnsi="Times New Roman" w:cs="Times New Roman"/>
          <w:b/>
          <w:sz w:val="24"/>
          <w:highlight w:val="yellow"/>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А.1 Область применения</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Давно известно, что химическое и микробиологическое загрязнение диализирующего раствора подвергает пациентов на диализе риску возникновения острых и хронических побочных явлений. С самого начала было признано, что существует проблема с включением требований к качеству жидкости в документ, адресованный изготовителям оборудования для очистки воды или аппаратов для диализа. Хотя изготовитель может нести ответственность за предоставление оборудования, которое при сборке в виде системы обеспечивает воду, концентрат или диализирующий раствор, отвечающие определенным требованиям качества, этот изготовитель не имеет никакого контроля над оборудованием после его установки. Например, качество очищенной воды может измениться, если система очистки воды не будет хорошо обслуживаться или если произойдет некоторое изменение в муниципальной воде, питающей эту систему. Поэтому стандарты качества жидкостей были установлены независимо от стандартов для оборудования, используемого для приготовления этих жидкостей. Поскольку повседневную ответственность за поддержание качества жидкости несут медицинские работники в каждом учреждении диализа под руководством главного врача, настоящий стандарт был подготовлен для того, чтобы дать этим медицинским работникам рекомендации о том, как управлять системами подготовки жидкостей таким образом, чтобы соответствовать требованиям стандартов качества жидкости.</w:t>
      </w:r>
    </w:p>
    <w:p w:rsidR="00C143DC" w:rsidRDefault="00C143DC" w:rsidP="00C143DC">
      <w:pPr>
        <w:pStyle w:val="Style15"/>
        <w:widowControl/>
        <w:ind w:firstLine="567"/>
        <w:rPr>
          <w:rStyle w:val="FontStyle54"/>
          <w:rFonts w:ascii="Times New Roman" w:hAnsi="Times New Roman" w:cs="Times New Roman"/>
          <w:b/>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А.2 Химические загрязнители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Этот пункт содержит обоснование требований, изложенных в 4.2.2.</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ISO 23500-3 устанавливает максимальные уровни химических загрязнений для воды для диализа в трех группах: химические вещества с документированной токсичностью у пациентов, находящихся на диализе, такие как алюминий [15]-[30], фтор [31]—[41], нитраты [42], [43], [44], хлор его побочные продукты и хлорамин (47-63), свинец (64-67), электролиты, обычно входящие в состав диализирующего раствора, и микроэлементы [62], [63], [64], [65]. Основанием для включения конкретных химических веществ в </w:t>
      </w:r>
      <w:r>
        <w:rPr>
          <w:rStyle w:val="FontStyle54"/>
          <w:rFonts w:ascii="Times New Roman" w:hAnsi="Times New Roman" w:cs="Times New Roman"/>
          <w:sz w:val="24"/>
          <w:lang w:val="kk-KZ" w:eastAsia="en-US"/>
        </w:rPr>
        <w:t xml:space="preserve">                                </w:t>
      </w:r>
      <w:r w:rsidRPr="00C143DC">
        <w:rPr>
          <w:rStyle w:val="FontStyle54"/>
          <w:rFonts w:ascii="Times New Roman" w:hAnsi="Times New Roman" w:cs="Times New Roman"/>
          <w:sz w:val="24"/>
          <w:lang w:val="kk-KZ" w:eastAsia="en-US"/>
        </w:rPr>
        <w:t>ISO 23500-3, а также для установления их предельных уровней, приводится в приложении А ISO 23500-3:2019.</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Опасности для пациентов, получающих лечение гемодиализом, связанные с присутствием органических соединений, таких как пестициды, полиакриловые ароматические углеводороды и другие химические продукты, присутствующие в воде, трудно определить.</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Последствия, вероятно, носят долгосрочный характер, и рутинное измерение таких веществ является трудным и дорогостоящим делом. В связи с этим в настоящей редакции стандарта не содержится никаких рекомендаций в отношении таких соединений.</w:t>
      </w: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Способность систем водоподготовки удалять такие соединения зависит от химического состава и концентрации загрязняющего вещества. Микрофильтрация и ультрафильтрация менее эффективны, чем нанофильтрация и обратный осмос. Гранулированный активированный уголь (GAC), с другой стороны, очень эффективен в удалении таких химических загрязнений. Соединения с высокой степенью гидрофильности могут разрушать активированный уголь быстрее, чем гидрофобные соединения. Циклы обратной промывки также играют важную роль в этом процессе. Поскольку гранулированные активированные угли обеспечивают</w:t>
      </w:r>
      <w:r w:rsidRPr="00C143DC">
        <w:rPr>
          <w:rStyle w:val="FontStyle54"/>
          <w:rFonts w:ascii="Times New Roman" w:hAnsi="Times New Roman" w:cs="Times New Roman"/>
          <w:b/>
          <w:sz w:val="24"/>
          <w:lang w:val="kk-KZ" w:eastAsia="en-US"/>
        </w:rPr>
        <w:t xml:space="preserve"> основной метод </w:t>
      </w:r>
      <w:r w:rsidRPr="00C143DC">
        <w:rPr>
          <w:rStyle w:val="FontStyle54"/>
          <w:rFonts w:ascii="Times New Roman" w:hAnsi="Times New Roman" w:cs="Times New Roman"/>
          <w:sz w:val="24"/>
          <w:lang w:val="kk-KZ" w:eastAsia="en-US"/>
        </w:rPr>
        <w:lastRenderedPageBreak/>
        <w:t>удаления хлора и хлорамина из питательной воды, надлежащий размер углеродных слоев или фильтров имеет важное значение для обеспечения того, чтобы большинство углеродных валентностей уже не были заняты, ограничивая удаление органических загрязнений, если возникнет необходимость удаления таких соединений.</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А.З Микробиологические загрязнители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Этот пункт содержит обоснование требований, изложенных в 4.2.4. </w:t>
      </w: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ISO 23500-3 устанавливает максимальные уровни бактерий и эндотоксинов в воде для диализа, а также уровни действия для этих загрязняющих веществ. Обоснование максимальных уровней бактерий и эндотоксинов приведено в приложении А </w:t>
      </w:r>
      <w:r>
        <w:rPr>
          <w:rStyle w:val="FontStyle54"/>
          <w:rFonts w:ascii="Times New Roman" w:hAnsi="Times New Roman" w:cs="Times New Roman"/>
          <w:sz w:val="24"/>
          <w:lang w:val="kk-KZ" w:eastAsia="en-US"/>
        </w:rPr>
        <w:t xml:space="preserve">                                   </w:t>
      </w:r>
      <w:r w:rsidRPr="00C143DC">
        <w:rPr>
          <w:rStyle w:val="FontStyle54"/>
          <w:rFonts w:ascii="Times New Roman" w:hAnsi="Times New Roman" w:cs="Times New Roman"/>
          <w:sz w:val="24"/>
          <w:lang w:val="kk-KZ" w:eastAsia="en-US"/>
        </w:rPr>
        <w:t>ISO 23500-3:2019.</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А.4 Требования к концентрату</w:t>
      </w: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Обоснование в этом пункте касается требований, изложенных в пункте 4.3. Требования к промышленно доступным концентратам приведены в ISO 23500-4, Было решено не рекомендовать ограничения на бактерии и эндотоксины для концентрата, приготовленного на предприятии, даже для бикарбонатного концентрата. Это решение было основано на трудностях проведения культуральных и эндотоксиновых анализов в образцах с высокой концентрацией солей. Высокие концентрации бикарбоната требуют специальных методов культивирования и являются ингибирующими в анализе LAL Было установлено, что нецелесообразно требовать от отдельного центра диализа соблюдения особых условий, необходимых для надлежащего испытания бикарбонатного концентрата, и что пациенты будут надлежащим образом защищены рекомендациями по качеству воды, используемой для приготовления концентрата, и конечного диализирующего раствора. Для пользователей, желающих установить уровень бактерий и концентрацию эндотоксинов в рамках исследования по устранению неполадок, руководство по проведению анализа культур и эндотоксинов в бикарбонатном концентрате включено в 8.3.3</w:t>
      </w:r>
      <w:r>
        <w:rPr>
          <w:rStyle w:val="FontStyle54"/>
          <w:rFonts w:ascii="Times New Roman" w:hAnsi="Times New Roman" w:cs="Times New Roman"/>
          <w:sz w:val="24"/>
          <w:lang w:val="kk-KZ" w:eastAsia="en-US"/>
        </w:rPr>
        <w:t>.3 и А.</w:t>
      </w:r>
      <w:r w:rsidRPr="00C143DC">
        <w:rPr>
          <w:rStyle w:val="FontStyle54"/>
          <w:rFonts w:ascii="Times New Roman" w:hAnsi="Times New Roman" w:cs="Times New Roman"/>
          <w:sz w:val="24"/>
          <w:lang w:val="kk-KZ" w:eastAsia="en-US"/>
        </w:rPr>
        <w:t>10.</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А.5 Микробиологические загрязнители в диализирующем растворе</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Обоснование в этом пункте относится к требованиям </w:t>
      </w:r>
      <w:r>
        <w:rPr>
          <w:rStyle w:val="FontStyle54"/>
          <w:rFonts w:ascii="Times New Roman" w:hAnsi="Times New Roman" w:cs="Times New Roman"/>
          <w:sz w:val="24"/>
          <w:lang w:val="kk-KZ" w:eastAsia="en-US"/>
        </w:rPr>
        <w:t xml:space="preserve">4.4 </w:t>
      </w:r>
      <w:r w:rsidRPr="00C143DC">
        <w:rPr>
          <w:rStyle w:val="FontStyle54"/>
          <w:rFonts w:ascii="Times New Roman" w:hAnsi="Times New Roman" w:cs="Times New Roman"/>
          <w:sz w:val="24"/>
          <w:lang w:val="kk-KZ" w:eastAsia="en-US"/>
        </w:rPr>
        <w:t>ISO 23500-5 устанавливает максимальные уровни бактерий и эндотоксинов в трех категориях диализирующего раствора: стандартном диализирующем растворе, ультрачистом диализирующем растворе и подготовленном в режиме реального времени замещающем растворе. Там, где это уместно, также приводятся уровни действия для бактерий и эндотоксинов. Обоснование максимальных уровней бактерий и эндотоксинов приведено в приложении А ISO 23500-5:2019.</w:t>
      </w: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ISO 23500-3 устанавливает максимально допустимый уровень для эндотоксинов в воде для диализа 0,25 ЕЭ/мл, в то время как ISO 23500-5 устанавливает максимально допустимый уровень для эндотоксинов в диализирующем растворе из 0,5 ЕЭ/мл. Уровень для диализирующего раствора устанавливается выше, чем для воды для диализа, в знак признания того, что порошковые концентраты могут вносить эндотоксины, но не объем, в конечный диализирующий раствор. Для бактерий такое требование не предусмотрено, так как большинство бактерий не выживают в жизнеспособной форме в порошкообразном концентрате.</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А.6 Контроль углеродных сред</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Обоснование в этом пункте относится к требованиям 7.3.5. Интенсивное наблюдение за углеродными слоями рекомендуется из-за длительной истории побочных явлений, связанных с загрязнением хлорамином диализирующего раствора [45]—[61]. </w:t>
      </w:r>
      <w:r w:rsidRPr="00C143DC">
        <w:rPr>
          <w:rStyle w:val="FontStyle54"/>
          <w:rFonts w:ascii="Times New Roman" w:hAnsi="Times New Roman" w:cs="Times New Roman"/>
          <w:sz w:val="24"/>
          <w:lang w:val="kk-KZ" w:eastAsia="en-US"/>
        </w:rPr>
        <w:lastRenderedPageBreak/>
        <w:t>Концентрация хлорамина в городской воде может меняться изо дня в день, а способность углеродных слоев удалять хлорамин может меняться в зависимости от рН и температуры воды, природы присутствующих хлораминовых соединений и присутствия других веществ в воде. Зависимость удаления хлорамина от множества факторов делает работу углеродных слоев непредсказуемой. Поэтому безопасность пациента может быть обеспечена только интенсивным наблюдением за работой углеродного слоя. Последовательная настройка углеродных слоев и отбор проб из порта, расположенного между двумя слоями, обеспечивают один предел защиты от прорыва хлорамина. Когда хлорамин впервые обнаружен в пробе из первого слоя, второй слой все еще будет иметь некоторую способность к удалению хлорамина. Эта резервная емкость позволяет пользователю удобно заменить пришедший в негодность слой без риска для пациентов. Пришедший в негодность слой утилизируется, второй слой перемещается в первое положение, а новый слой помещается во второе положение. Для замены следует использовать новый слой первичного углерода. Непрерывное наблюдение с помощью онлайн-монитора обеспечивает наилучшую защиту пациента. Онлайн-монитор должен быть способен активировать средство отвода воды из системы обратного осмоса, например путем отключения системы обратного осмоса, если общий уровень хлора превышает 0,1 мг/л.</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В ситуациях, когда хлорамин не используется для обеззараживания воды, а уровень аммиака в воде низок, может быть достаточно одного углеродного слоя или угольного картриджного фильтра с более коротким ЕВСТ. Углерод не может быть регенерирован в отделении диализа, и использование регенерированного углерода запрещено. Обратная промывка углеродных пластов не регенерирует углерод, хотя она может позволить более эффективно использовать емкость слоя, удаляя каналы, которые могут образоваться в слое во время обычной эксплуатации. Смысл рекомендации о том, что </w:t>
      </w:r>
    </w:p>
    <w:p w:rsid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система водоподготовки должна работать не менее 15 мин, прежде чем будут взяты пробы воды из углеродного слоя, заключается в том, чтобы предотвратить непреднамеренный отбор проб воды, которая находилась в слое в течение длительного периода времени.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А.7 Методы микробиологического контроля</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Обоснование в этом пункте касается требований, изложенных в разделе 8. Микробный рост внутри жидкости может происходить в двух формах: планктонной, т. е. свободно существующей в объемном растворе, и сидячей, т. е. прикрепленной к поверхности.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Образование биопленки происходит в последовательности различных событий, включая первоначальное прикрепление клетки к поверхности или клетки к клетке, образование микроколоний, созревание биопленки и рассеивание биопленки.</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Способность бактерий производить компоненты внеклеточного матрикса, которые позволяют им прилипать к поверхностям и друг к другу, является предпосылкой для образования биопленки. По мере созревания биопленки бактерии-резиденты внедряются и интегрируются в эту самопродуцирующуюся внеклеточную матрицу, состоящую из полисахарида, белка и ДНК.</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Ввиду этого никакое испытание не способно показать полную картину бактериального роста, и испытания, описанные и упомянутые в настоящем стандарте, не измеряют многие микробные загрязнители, включая: фрагменты клеточной стенки микроорганизмов; ДНК и РНК нуклеиновых кислот; и метаболиты различных видов.</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По этой причине рекомендуется проактивная программа дезинфекции для борьбы с бактериальным ростом в системах воды для диализа и диализирующего раствора </w:t>
      </w:r>
      <w:r w:rsidRPr="00C143DC">
        <w:rPr>
          <w:rStyle w:val="FontStyle54"/>
          <w:rFonts w:ascii="Times New Roman" w:hAnsi="Times New Roman" w:cs="Times New Roman"/>
          <w:sz w:val="24"/>
          <w:lang w:eastAsia="en-US"/>
        </w:rPr>
        <w:t xml:space="preserve">                       </w:t>
      </w:r>
      <w:r w:rsidRPr="00C143DC">
        <w:rPr>
          <w:rStyle w:val="FontStyle54"/>
          <w:rFonts w:ascii="Times New Roman" w:hAnsi="Times New Roman" w:cs="Times New Roman"/>
          <w:sz w:val="24"/>
          <w:lang w:val="kk-KZ" w:eastAsia="en-US"/>
        </w:rPr>
        <w:t>[15</w:t>
      </w:r>
      <w:r w:rsidRPr="00C143DC">
        <w:rPr>
          <w:rStyle w:val="FontStyle54"/>
          <w:rFonts w:ascii="Times New Roman" w:hAnsi="Times New Roman" w:cs="Times New Roman"/>
          <w:sz w:val="24"/>
          <w:lang w:eastAsia="en-US"/>
        </w:rPr>
        <w:t>] - [</w:t>
      </w:r>
      <w:r w:rsidRPr="00C143DC">
        <w:rPr>
          <w:rStyle w:val="FontStyle54"/>
          <w:rFonts w:ascii="Times New Roman" w:hAnsi="Times New Roman" w:cs="Times New Roman"/>
          <w:sz w:val="24"/>
          <w:lang w:val="kk-KZ" w:eastAsia="en-US"/>
        </w:rPr>
        <w:t>80].</w:t>
      </w: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lastRenderedPageBreak/>
        <w:t>А.8 Количество гетеротрофных бактерий</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Обоснование в этом пункте относится к требованиям 8.3.3.</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Чувствительные методы культивирования должны использоваться для измерения общего количества жизнеспособных микроорганизмов, разрешенного для воды, используемой для гемодиализа. Метод мембранного фильтра особенно подходит для этого применения, поскольку он позволяет анализировать большие объемы жидкости. Этот метод повышает чувствительность метода и вероятность обнаружения бактерий, присутствующих в небольшом количестве. Поскольку метод мембранного фильтра может оказаться недоступным в клинических лабораториях, в качестве альтернативы для воды и стандартного диализирующего раствора можно использовать поверхностный метод или чашечный метод [81]. Если используется поверхностный метод, то метод калиброванного цикла не должен использоваться для нанесения образца на чашку Петри. Чувствительность анализа, выполненного с помощью метода калиброванного цикла, мала. Стандартный метод калиброванного цикла переносит 0,001 мл образца в культуральную среду так, чтобы минимальная чувствительность анализа составляла 1000 КОЕ/мл. Такая чувствительность неприемлема, когда максимально допустимый предел для микроорганизмов составляет 100 КОЕ/мл. Поэтому при использовании поверхностного метода следует использовать пипетку для помещения 0,1-0,3 мл воды или диализирующего раствора на культуральную среду. Чашечный метод может быть использован в качестве альтернативы поверхностному методу. Если используется объем пробы 1 мл, то предел обнаружения чашечным методом составляет 1 КОЕ/мл.</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Результаты культивирования, полученные с использованием любого из методов, изложенных в настоящем стандарте, являются лишь относительным показателем содержания бионагрузки в воде для диализа или диализирующем растворе и не дают измерения абсолютной бактериальной нагрузки. В первоначальных клинических наблюдениях, на которых основывались микробиологические требования, использовались стандартные методы агара (SMA), среды, содержащей относительно мало питательных веществ. Позже было добавлено использование триптического соевого агара (TSA), универсальной среды для выделения и культивирования прихотливых организмов. Несколько исследований показали, что использование бедных питательными веществами сред, таких как триптоноглюкозный агар (TGEA) или агар Reasoner 2А (R2A), приводит к увеличению извлечения бактерий из воды [12], [13], [14], [82]. Увеличение времени культивирования до 7 суток и использование инкубационных температур от 23 °С до 28 °С также показали увеличение восстановления бактерий по сравнению с инкубацией в течение 48 ч при температуре от 35 °С до 37 °С (14, 84).</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Использование агара Reasoner 2А (R2A) и триптоноглюкозного агара (TGEA) в некоторых публикациях характеризовалось более высокой численностью колоний, чем использование триптического соевого агара (TSA) для культивирования проб воды и диализирующего раствора [10], [12], [13], [14]. В более новых публикациях (2016 года) авторы указали, что при сравнении </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бактериальной нагрузки в соотношении стандартной воды и стандартного диализирующего раствора количество колоний &gt;50 КОЕ/мл при анализе с использованием R2A и TSA в указанных выше условиях не было существенных различий [11].</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Maltais и др. [11] в своем сравнении среды TGEA с TSA при количественном определении микробной нагрузки в воде и диализирующем растворе, используемых для стандартного диализа, показали, что доля образцов воды, дающих количество колоний &gt;50 КОЕ/мл, инкубированных при температуре от 17 СС до 23 °С в течение 7 дней, значительно отличалась от доли, установленной TSA при температуре инкубации </w:t>
      </w:r>
      <w:r w:rsidRPr="00C143DC">
        <w:rPr>
          <w:rStyle w:val="FontStyle54"/>
          <w:rFonts w:ascii="Times New Roman" w:hAnsi="Times New Roman" w:cs="Times New Roman"/>
          <w:sz w:val="24"/>
          <w:lang w:eastAsia="en-US"/>
        </w:rPr>
        <w:t xml:space="preserve">                          </w:t>
      </w:r>
      <w:r w:rsidRPr="00C143DC">
        <w:rPr>
          <w:rStyle w:val="FontStyle54"/>
          <w:rFonts w:ascii="Times New Roman" w:hAnsi="Times New Roman" w:cs="Times New Roman"/>
          <w:sz w:val="24"/>
          <w:lang w:val="kk-KZ" w:eastAsia="en-US"/>
        </w:rPr>
        <w:t xml:space="preserve">35 до 37 °С и времени инкубации 48 часов (Р = 0,001). Пропорции образцов </w:t>
      </w:r>
      <w:r w:rsidRPr="00C143DC">
        <w:rPr>
          <w:rStyle w:val="FontStyle54"/>
          <w:rFonts w:ascii="Times New Roman" w:hAnsi="Times New Roman" w:cs="Times New Roman"/>
          <w:sz w:val="24"/>
          <w:lang w:val="kk-KZ" w:eastAsia="en-US"/>
        </w:rPr>
        <w:lastRenderedPageBreak/>
        <w:t>диализирующего раствора, в которых микробная нагрузка составляла &gt;50 КОЕ/мл, существенно не отличались.</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Метод TSA уравновешивает повышенное восстановление с более коротким временем для получения действенных результатов.</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Использование триптоноглюкозного агара (TGEA) или агара Reasoner 2А (R2A) инкубированных при температуре 17 до 23 °С в течение 7 дней, или триптического соевого агара (TSA), инкубированного при 35 °С в течение 48 часов - проверенные и приемлемые методы. Пользователь должен определить, какая из этих методологий подходит для соответствующей ситуации, принимая во внимание преимущества каждой из них.</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Согласно фармакопее Соединенных Штатов, «решение об использовании более длительного времени инкубации должно приниматься после сбалансирования потребности в своевременной информации и типа корректирующих действий, необходимых при превышении уровня тревоги или действия, с возможностью восстановления интересующих микроорганизмов. Преимущества, полученные при инкубации в течение более длительного времени, а именно восстановление поврежденных микроорганизмов, медленно растущих или более прихотливых микроорганизмов, должны быть сбалансированы с необходимостью своевременного исследования и принятия корректирующих мер, а также способностью этих микроорганизмов пагубно влиять на продукты или процессы» (например, безопасность пациентов).</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Выбранная питательная среда и время инкубации также должны основываться на типе анализируемой жидкости, например стандартном диализирующем растворе, воде, используемой для приготовления стандартного диализирующего раствора, ультрачистом диализирующем растворе, воде, используемой для приготовления ультрачистого диализирующего раствора, или растворе, используемом для терапии в режиме реального времени, такой как гемодиафильтрация. Выбранный метод должен основываться на анализе преимуществ, недостатков и чувствительности каждого из предложенных методов. Он также должен обеспечить пациенту необходимые гарантии в рамках любых ограничений, налагаемых местной лабораторной практикой работы и возмещением расходов.</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При наблюдении за микробным загрязнением в ультрачистом диализирующем растворе максимально допустимый уровень бактерий требует проведения культивирования методом мембранной фильтрации с пропусканием через фильтр не менее 10 мл ультрачистого диализирующего раствора. Использование больших объемов (до 1000 мл) обеспечит большую чувствительность, но улучшенная чувствительность должна быть сбалансирована с повышенным риском загрязнения при сборе и обращении с образцом. Даже при использовании этих более чувствительных методов соответствие строгому требованию стерильности подготовленного в режиме реального времени замещающего раствора не может быть продемонстрировано культивированием; это должно быть обеспечено использованием валидированного процесса. Наблюдение за производством подготовленного в режиме реального времени заменяющего раствора будет зависеть от производственной системы и должно осуществляться в соответствии с инструкциями изготовителя.</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Кроме того, условия культивирования, рекомендованные в настоящем стандарте, могут не определять присутствие некоторых организмов. В частности, рекомендуемые методы могут не обнаруживать наличие различных нетуберкулезных микобактерий, которые были связаны с несколькими вспышками инфекции в отделениях диализа [83], [84]. Кроме того, рекомендуемые методы не обнаруживают грибков и дрожжей, которые, как было показано, загрязняют воду, используемую для гемодиализа [85].</w:t>
      </w:r>
    </w:p>
    <w:p w:rsidR="00C143DC" w:rsidRDefault="00C143DC" w:rsidP="00C143DC">
      <w:pPr>
        <w:pStyle w:val="Style15"/>
        <w:widowControl/>
        <w:ind w:firstLine="567"/>
        <w:rPr>
          <w:rStyle w:val="FontStyle54"/>
          <w:rFonts w:ascii="Times New Roman" w:hAnsi="Times New Roman" w:cs="Times New Roman"/>
          <w:sz w:val="24"/>
          <w:lang w:val="en-US" w:eastAsia="en-US"/>
        </w:rPr>
      </w:pPr>
      <w:r w:rsidRPr="00C143DC">
        <w:rPr>
          <w:rStyle w:val="FontStyle54"/>
          <w:rFonts w:ascii="Times New Roman" w:hAnsi="Times New Roman" w:cs="Times New Roman"/>
          <w:sz w:val="24"/>
          <w:lang w:val="kk-KZ" w:eastAsia="en-US"/>
        </w:rPr>
        <w:lastRenderedPageBreak/>
        <w:t>Микробиологическая чистота упакованных жидких концентратов и сухих порошковых картриджей является обязанностью изготовителя. Наблюдение за бикарбонатным концентратом, получаемым в центре диализа из порошка и воды, хотя и не требуется регулярно, может проводиться в рамках расследования неисправностей. Содержание натрия в TSA достаточно для использования в культивировании бикарбонатного концентрата без добавок. Исследования солеустойчивости показали, что оптимальный рост организмов, обнаруженных в бикарбонатном концентрате, происходит при концентрации хлорида натрия примерно от 3 % до 6 % [86]. Поэтому, если для контроля микробного загрязнения бикарбонатного концентрата используется малосолевая среда, такая как R2A или TGEA, ее следует дополнить добавлением 4 % бикарбоната натрия. </w:t>
      </w:r>
    </w:p>
    <w:p w:rsidR="00C143DC" w:rsidRPr="00C143DC" w:rsidRDefault="00C143DC" w:rsidP="00C143DC">
      <w:pPr>
        <w:pStyle w:val="Style15"/>
        <w:widowControl/>
        <w:ind w:firstLine="567"/>
        <w:rPr>
          <w:rStyle w:val="FontStyle54"/>
          <w:rFonts w:ascii="Times New Roman" w:hAnsi="Times New Roman" w:cs="Times New Roman"/>
          <w:sz w:val="24"/>
          <w:lang w:val="en-US"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А.9 Условия культивирования</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Обоснование в этом пункте относится к требованиям 8.3.3.3.</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Из-за культивирования образцов существует задержка между отбором проб и получением результатов. При использовании методов, требующих семи дней для получения результатов, значительное загрязнение может быть обнаружено раньше, чем через семь дней, если используются промежуточные подсчеты (например, каждые два дня).</w:t>
      </w:r>
    </w:p>
    <w:p w:rsidR="00C143DC" w:rsidRDefault="00C143DC" w:rsidP="00C143DC">
      <w:pPr>
        <w:pStyle w:val="Style15"/>
        <w:widowControl/>
        <w:ind w:firstLine="567"/>
        <w:rPr>
          <w:rStyle w:val="FontStyle54"/>
          <w:rFonts w:ascii="Times New Roman" w:hAnsi="Times New Roman" w:cs="Times New Roman"/>
          <w:b/>
          <w:sz w:val="24"/>
          <w:lang w:val="en-US" w:eastAsia="en-US"/>
        </w:rPr>
      </w:pPr>
    </w:p>
    <w:p w:rsidR="00C143DC" w:rsidRPr="00C143DC" w:rsidRDefault="00C143DC" w:rsidP="00C143DC">
      <w:pPr>
        <w:pStyle w:val="Style15"/>
        <w:widowControl/>
        <w:ind w:firstLine="567"/>
        <w:rPr>
          <w:rStyle w:val="FontStyle54"/>
          <w:rFonts w:ascii="Times New Roman" w:hAnsi="Times New Roman" w:cs="Times New Roman"/>
          <w:b/>
          <w:sz w:val="24"/>
          <w:lang w:val="kk-KZ" w:eastAsia="en-US"/>
        </w:rPr>
      </w:pPr>
      <w:r w:rsidRPr="00C143DC">
        <w:rPr>
          <w:rStyle w:val="FontStyle54"/>
          <w:rFonts w:ascii="Times New Roman" w:hAnsi="Times New Roman" w:cs="Times New Roman"/>
          <w:b/>
          <w:sz w:val="24"/>
          <w:lang w:val="kk-KZ" w:eastAsia="en-US"/>
        </w:rPr>
        <w:t>А.10 Испытание на бактериальные эндотоксины</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 xml:space="preserve">Обоснование в этом пункте относится к требованиям 8.3.4. Бикарбонатный концентрат ингибирует анализ LAL Ингибирование вызвано высокой концентрацией растворенных веществ в концентрате и рН. В гель-тромб тесте это ингибирование приводит к неспособности сгуститься. В кинетических анализах ингибирование приводит к неспособности восстановить положительный контроль в пределах от </w:t>
      </w:r>
      <w:r>
        <w:rPr>
          <w:rStyle w:val="FontStyle54"/>
          <w:rFonts w:ascii="Times New Roman" w:hAnsi="Times New Roman" w:cs="Times New Roman"/>
          <w:sz w:val="24"/>
          <w:lang w:val="kk-KZ" w:eastAsia="en-US"/>
        </w:rPr>
        <w:t xml:space="preserve">минус 50                 </w:t>
      </w:r>
      <w:r w:rsidRPr="00C143DC">
        <w:rPr>
          <w:rStyle w:val="FontStyle54"/>
          <w:rFonts w:ascii="Times New Roman" w:hAnsi="Times New Roman" w:cs="Times New Roman"/>
          <w:sz w:val="24"/>
          <w:lang w:val="kk-KZ" w:eastAsia="en-US"/>
        </w:rPr>
        <w:t>до 200 % от номинального значения.</w:t>
      </w:r>
    </w:p>
    <w:p w:rsidR="00C143DC"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Разбавление бикарбонатного концентрата водой является обычным методом преодоления торможения. Необходимо минимальное разведение 1:16; однако для более чувствительных анализов рекомендуется более высокое разведение. Например, при использовании анализа с чувствительностью 0,03 ЕЭ/мл рекомендуется разведение 1:20. Разбавление уменьшает предел обнаружения анализа. В кинетических методах чувствительность - это наименьшая концентрация, используемая для построения стандартной кривой. Рекомендуется кинетический анализ, поскольку кинетические анализы обычно более чувствительны, чем анализы гель-тромб.</w:t>
      </w:r>
    </w:p>
    <w:p w:rsidR="00D07674" w:rsidRPr="00C143DC" w:rsidRDefault="00C143DC" w:rsidP="00C143DC">
      <w:pPr>
        <w:pStyle w:val="Style15"/>
        <w:widowControl/>
        <w:ind w:firstLine="567"/>
        <w:rPr>
          <w:rStyle w:val="FontStyle54"/>
          <w:rFonts w:ascii="Times New Roman" w:hAnsi="Times New Roman" w:cs="Times New Roman"/>
          <w:sz w:val="24"/>
          <w:lang w:val="kk-KZ" w:eastAsia="en-US"/>
        </w:rPr>
      </w:pPr>
      <w:r w:rsidRPr="00C143DC">
        <w:rPr>
          <w:rStyle w:val="FontStyle54"/>
          <w:rFonts w:ascii="Times New Roman" w:hAnsi="Times New Roman" w:cs="Times New Roman"/>
          <w:sz w:val="24"/>
          <w:lang w:val="kk-KZ" w:eastAsia="en-US"/>
        </w:rPr>
        <w:t>Стандартные тесты гель-тромб инкубируют при 37 °С в течение времени, рекомендованного изготовителем. По истечении рекомендованного времени трубки переворачивают, чтобы обнаружить наличие тромба. Положительный тест будет иметь тромб, который останется в конце трубки до тех пор, пока ее не встряхнут или не ударят. Отрицательный тест не будет иметь тромба и будет иметь тенденцию вытекать из трубки, после того как она будет перевернута. Тромб, который является полутвердым и течет медленно, классифицируется как отрицательный тромб. Например, когда бикарбонатный концентрат тестируют с помощью анализа гель-тромб с чувствительностью 0,03 ЕЭ/мл и концентрат разбавляют 1:20 (1,0 мл концентрата плюс 19 мл воды реагента LAL или эквивалента), положительный контрольный образец должен сгуститься, указывая на отсутствие ингибирования анализа. Если разбавленный бикарбонатный концентрат образца сгущается, это указывает на то, что образец содержит не менее 0,6 ЕЭ/мл эндотоксинов. Новая версия анализа гель-тромб имеет согласованный положительный контроль, что упрощает тестирование и повышает надежность результатов.</w:t>
      </w:r>
    </w:p>
    <w:p w:rsidR="00C143DC" w:rsidRDefault="00C143DC" w:rsidP="004636A8">
      <w:pPr>
        <w:pStyle w:val="Style15"/>
        <w:widowControl/>
        <w:ind w:firstLine="0"/>
        <w:jc w:val="center"/>
        <w:rPr>
          <w:rStyle w:val="FontStyle54"/>
          <w:rFonts w:ascii="Times New Roman" w:hAnsi="Times New Roman" w:cs="Times New Roman"/>
          <w:b/>
          <w:sz w:val="24"/>
          <w:lang w:val="kk-KZ" w:eastAsia="en-US"/>
        </w:rPr>
      </w:pPr>
    </w:p>
    <w:p w:rsidR="00D07674" w:rsidRPr="00D07674" w:rsidRDefault="00D07674" w:rsidP="00D07674">
      <w:pPr>
        <w:pStyle w:val="Style15"/>
        <w:widowControl/>
        <w:ind w:firstLine="0"/>
        <w:jc w:val="center"/>
        <w:rPr>
          <w:rStyle w:val="FontStyle54"/>
          <w:rFonts w:ascii="Times New Roman" w:hAnsi="Times New Roman" w:cs="Times New Roman"/>
          <w:b/>
          <w:sz w:val="24"/>
          <w:lang w:val="kk-KZ" w:eastAsia="en-US"/>
        </w:rPr>
      </w:pPr>
      <w:r w:rsidRPr="00D07674">
        <w:rPr>
          <w:rStyle w:val="FontStyle54"/>
          <w:rFonts w:ascii="Times New Roman" w:hAnsi="Times New Roman" w:cs="Times New Roman"/>
          <w:b/>
          <w:sz w:val="24"/>
          <w:lang w:val="kk-KZ" w:eastAsia="en-US"/>
        </w:rPr>
        <w:lastRenderedPageBreak/>
        <w:t>Приложение B</w:t>
      </w:r>
    </w:p>
    <w:p w:rsidR="00D07674" w:rsidRPr="00D07674" w:rsidRDefault="00D07674" w:rsidP="00D07674">
      <w:pPr>
        <w:pStyle w:val="Style15"/>
        <w:widowControl/>
        <w:ind w:firstLine="0"/>
        <w:jc w:val="center"/>
        <w:rPr>
          <w:rStyle w:val="FontStyle54"/>
          <w:rFonts w:ascii="Times New Roman" w:hAnsi="Times New Roman" w:cs="Times New Roman"/>
          <w:i/>
          <w:sz w:val="24"/>
          <w:highlight w:val="yellow"/>
          <w:lang w:val="kk-KZ" w:eastAsia="en-US"/>
        </w:rPr>
      </w:pPr>
      <w:r w:rsidRPr="00D07674">
        <w:rPr>
          <w:rStyle w:val="FontStyle54"/>
          <w:rFonts w:ascii="Times New Roman" w:hAnsi="Times New Roman" w:cs="Times New Roman"/>
          <w:i/>
          <w:sz w:val="24"/>
          <w:lang w:val="kk-KZ" w:eastAsia="en-US"/>
        </w:rPr>
        <w:t>(информационное)</w:t>
      </w: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D07674" w:rsidRDefault="001C6D8D" w:rsidP="004636A8">
      <w:pPr>
        <w:pStyle w:val="Style15"/>
        <w:widowControl/>
        <w:ind w:firstLine="0"/>
        <w:jc w:val="center"/>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Оборудование</w:t>
      </w:r>
    </w:p>
    <w:p w:rsidR="001C6D8D" w:rsidRDefault="001C6D8D" w:rsidP="004636A8">
      <w:pPr>
        <w:pStyle w:val="Style15"/>
        <w:widowControl/>
        <w:ind w:firstLine="0"/>
        <w:jc w:val="center"/>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В.1 Общие положения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В настоящем приложении приводится краткое описание различных компонентов, которые могут быть включены в системы для обработки и распределения воды для диализа и диализирующего раствора, а также для приготовления и распределения концентратов для применения в гемодиализе. Используются два типа систем: системы, в которых вода для диализа распределяется в аппарат для диализа на отдельной станции лечения пациентов, который готовит и контролирует диализирующий раствор для использования на этой станции; и центральные системы доставки диализирующего раствора, которые готовят диализирующий раствор централизованно и подают его на станции лечения нескольких пациентов. Поскольку качество питательной воды и требования к очищенной воде могут варьироваться от объекта к объекту, не все компоненты, описанные в следующих пунктах, будут необходимы в каждой системе очистки и распределения воды. Кроме того, не каждое отделение диализа будет готовить концентрат в отделении диализа.</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Требования к оборудованию для очистки воды, используемому для гемодиализа и сопутствующей терапии, содержатся в стандарте ISO 23500-2, а требования к оборудованию, используемому для приготовления концентратов в отделении диализа, - в ISO 23500-4.</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Рутинный диализ требует хорошо функционирующей системы очистки и распределения воды, поскольку диализ не может быть выполнен без достаточного запаса воды. Кроме того, некоторые компоненты системы очистки и распределения воды имеют решающее значение для ее функционирования. Примером такого критического компонента является циркуляционный насос в системе косвенной подачи. Отделение диализа должно разработать планы действий на случай непредвиденных обстоятельств, чтобы покрыть неисправность своей системы очистки и распределения воды или критического компонента этой системы. В таких планах действий на случай непредвиденных обстоятельств должно быть описано, как бороться с событиями, которые полностью препятствуют проведению диализа, такими как отказ муниципального водоснабжения или электроснабжения объекта после стихийного бедствия или разрыва водопроводной магистрали. В других планах следует рассмотреть вопрос о том, как бороться с внезапными изменениями качества муниципальной воды, а также с отказом одного из важнейших компонентов системы очистки и распределения воды. Аналогичные планы действий на случай непредвиденных обстоятельств должны разрабатываться и в случае выхода из строя систем подготовки концентрата.</w:t>
      </w:r>
    </w:p>
    <w:p w:rsid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В.2 Системы водоподготовки</w:t>
      </w:r>
    </w:p>
    <w:p w:rsid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.2.1 Общие положения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Системы водоподготовки состоят из трех основных секций: секция предварительной очистки, которая обеспечивает условия подачи воды в устройство первичной очистки, за которой могут следовать другие устройства, повышающие конечное качество воды. Секция предварительной обработки обычно включает осадочный фильтр, картриджные фильтры, способные удерживать частицы различных размеров, умягчитель и углеродные слои. Первичным процессом очистки чаще всего используется обратный осмос, за которым могут последовать деионизация и ультрафильтрация для полировки продукта </w:t>
      </w:r>
      <w:r w:rsidRPr="001C6D8D">
        <w:rPr>
          <w:rStyle w:val="FontStyle54"/>
          <w:rFonts w:ascii="Times New Roman" w:hAnsi="Times New Roman" w:cs="Times New Roman"/>
          <w:sz w:val="24"/>
          <w:lang w:val="kk-KZ" w:eastAsia="en-US"/>
        </w:rPr>
        <w:lastRenderedPageBreak/>
        <w:t>водой из системы обратного осмоса. Будет ли то или иное устройство включено в индивидуальную систему очистки воды, будет зависеть от местных условий.</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В этом разделе приводится краткое описание основного оборудования, используемого для очистки воды, используемой в системах гемодиализа. Устройства, используемые для очистки воды для гемодиализа, должны соответствовать требованиям стандарта ISO 23500-2, включая определенные конструктивные и эксплуатационные характеристики отдельных устройств для очистки воды.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Общая информация приводится в В.2.2-В.2.9. Конструкция и инструментарий отдельных устройств для водоподготовки могут отличаться от этих общих описаний. Например, умягчители могут быть сконфигурированы в виде одинарного слоя смолы, который регенерируется вне обычных часов работы диализной установки, или они  могут иметь конфигурацию с двумя слоями, которая позволяет регенерировать один слой, в то время как другой используется для обеспечения водой нормальных процедур диализа.</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В зависимости от качества питательной воды и требований к очищенной воде, не каждый компонент в этом пункте может потребоваться на соответствующем объекте. Точно так же при определенных обстоятельствах могут потребоваться дополнительные компоненты. Например, углерод может не обеспечить адекватного удаления хлорамина, если вода содержит вещества, такие как полифосфаты, которые маскируют реактивные участки на частицах углерода. В этих условиях могут потребоваться другие процессы, такие как инфузия бисульфита натрия, для получения очищенной воды, соответствующей требованиям 4.2.2.</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Пользователям рекомендуется получить подробное описание всех компонентов водоочистки, а также инструкции по эксплуатации и техническому обслуживанию от изготовителя или поставщика системы очистки и распределения воды.</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.2.2 Осадочные фильтры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Постоянные осадочные фильтры с обратной промывкой, также известные как «фильтры слоя», часто расположены в начале систем очистки воды для гемодиализа или вблизи них и предназначены для удаления относительно крупных твердых частиц из поступающей воды. Хотя может быть использована одна фильтрующая среда, чаще всего выбираются фильтры слоя, известные как мультимедийные фильтры. Эти блоки содержат несколько слоев, каждый из которых удерживает все более мелкие частицы. Таким образом, слой используется в полной мере; самые крупные частицы удаляются в первом слое, контактирующем с водой, а самые мелкие-в последнем слое.</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По мере того как слой накапливает твердые частицы, открытые каналы начинают засоряться, и сопротивление воде, проходящей через фильтр, увеличивается. В конечном счете, повышенное сопротивление потоку приведет к сокращению подачи воды к нижестоящим компонентам. Чтобы предотвратить возникновение такой ситуации, фильтры слоя очищаются периодической обратной промывкой, которая осуществляется либо вручную, либо с помощью регулирующего клапана, активируемого таймером. Осадочные фильтры должны иметь непрозрачный корпус или другие средства, препятствующие размножению водорослей. Фильтры слоя должны быть снабжены датчиками для измерения гидростатического давления на входе и выходе фильтров. Эти значения могут быть использованы для определения динамического перепада давления на фильтре (дельта-давление или АР), который служит показателем сопротивления потоку и служит основой, наряду с рекомендациями изготовителя, для установки частоты обратной промывки.</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В.2.3 Картриджные фильтры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Картриджные фильтры состоят из цилиндрического картриджа фильтрующей среды с центральным дренажным сердечником. Картридж помещен в корпус фильтра с уплотнениями для разделения потоков питательной и очищенной воды. В каскаде </w:t>
      </w:r>
      <w:r w:rsidRPr="001C6D8D">
        <w:rPr>
          <w:rStyle w:val="FontStyle54"/>
          <w:rFonts w:ascii="Times New Roman" w:hAnsi="Times New Roman" w:cs="Times New Roman"/>
          <w:sz w:val="24"/>
          <w:lang w:val="kk-KZ" w:eastAsia="en-US"/>
        </w:rPr>
        <w:lastRenderedPageBreak/>
        <w:t>предварительной обработки прозрачные корпуса фильтров могут быть полезны, поскольку они позволяют увидеть любую утечку углерода или смолы без необходимости нарушать целостность системы. Корпус может быть очищен от любых водорослей при замене фильтрующего картриджа. По этой причине использование непрозрачных корпусов для картриджных фильтров рекомендуется, но не обязательно. Если используются прозрачные корпуса, они не должны подвергаться воздействию естественного света, чтобы свести к минимуму размножение водорослей. Картриджные фильтры должны быть снабжены датчиками для измерения гидростатического давления на входе и выходе фильтров. Хотя картриджные фильтры могут быть установлены на входе в систему очистки воды, их обычное применение - это заключительная стадия фильтрации перед обратным осмосом. Сопротивление течению через фильтр увеличивается по мере накопления картриджем дисперсного материала, о чем свидетельствует увеличение ДР. При достижении максимального значения ΔР, рекомендованного изготовителем фильтра, картридж следует заменить в соответствии с инструкциями изготовителя.</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.2.4 Умягчители</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Вода, содержащая кальций или магний, может образовывать относительно твердые отложения и называется «жесткой водой». Вода, в которой эти элементы были заменены ионообменом натрия, называется «мягкой водой», поэтому используется термин «умягчитель». Умягчители также удаляют другие поливалентные катионы, в первую очередь железо и марганец, хотя они несколько ограничены в этом отношении. Однако при наличии значительных концентраций железа и марганца следует применять специальные процедуры для снижения этих концентраций до уровней, которые не препятствуют процессу размягчения и не вызывают загрязнения мембран. Основное применение умягчителей в системах водоснабжения гемодиализа заключается в предотвращении загрязнения мембран обратного осмоса отложениями жесткой воды. </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Умягчитель - это цилиндр или сосуд, содержащий нерастворимые сферы или шарики, называемые «смолой», к которым присоединены ионы натрия. Во время работы сменные ионы натрия в смоле постепенно замещаются ионами кальция и магния. Когда все ионы натрия были использованы, слой смолы достиг состояния, называемого «истощением». Перед истощением пластификаторы должны быть восстановлены; то есть новые обменные ионы натрия помещаются на смолу с помощью процесса, известного как «регенерация», который включает воздействие слоя смолы на высококонцентрированный раствор хлорида натрия. Концентрированный раствор хлорида натрия готовят в отдельной емкости для солевого раствора, из которой он извлекается в процессе регенерации. Регулирующий клапан на умягчителе регулирует циклы регенерации и обслуживания.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Автоматически регенерированные умягчители воды должны быть снабжены механизмом предотвращения попадания воды, содержащей высокую концентрацию хлорида натрия, используемого при регенерации, в линию очищенной воды во время регенерации. Для умягчителей с контролируемым временем циклом регенерации лицевая сторона таймера должна быть видна пользователю. Органы управления должны быть расположены таким образом, чтобы свести к минимуму непреднамеренный сброс.</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.2.5 Углеродные среды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Углеродные системы, часто называемые угольными фильтрами, являются основным средством удаления как свободного хлора, так и хлорамина. Удаление хлорамина до максимального уровня 0,1 мг/л и удаление свободного хлора до максимального уровня 0,5 мг/л необходимы для защиты пациентов, находящихся на диализе, от гемолиза эритроцитов. Кроме того, свободный хлор может также разрушать некоторые мембраны обратного осмоса, в зависимости от материала мембраны. Определение уровня хлорамина обычно включает в себя измерение как общего хлора, так и свободного хлора и </w:t>
      </w:r>
      <w:r w:rsidRPr="001C6D8D">
        <w:rPr>
          <w:rStyle w:val="FontStyle54"/>
          <w:rFonts w:ascii="Times New Roman" w:hAnsi="Times New Roman" w:cs="Times New Roman"/>
          <w:sz w:val="24"/>
          <w:lang w:val="kk-KZ" w:eastAsia="en-US"/>
        </w:rPr>
        <w:lastRenderedPageBreak/>
        <w:t>присвоение разности концентраций хлорамину. Для проведения одного испытания максимально допустимый уровень общего хлора был установлен на уровне максимально допустимого уровня хлорамина (0,1 мг/л).</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Помимо удаления свободного хлора и хлорамина, углерод также адсорбирует широкий спектр других веществ, включая как природные, так и синтетические органические соединения. Способность углерода удалять свободный хлор и хлорамин может быть снижена, когда другие вещества «маскируют» реактивные участки на углеродных средах. Кроме того, скорость удаления свободного хлора и хлорамина уменьшается по мере увеличения рН или снижения температуры. Чистый эффект этих переменных заключается в том, что конечная способность углеродных слоев удалять свободный хлор и хлорамин не может быть предсказана с какой-либо определенностью. Поэтому их эффективность должна часто контролироваться.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Углеродные системы должны быть специально адаптированы к максимальному ожидаемому расходу воды в системе. Когда углерод используется для удаления хлорамина на уровне 1 мг/л или более, два слоя углерода должны быть установлены в последовательной конфигурации. Следует предусмотреть средство для отбора проб очищенной воды с первого слоя. Пробоотборное отверстие также должно быть установлено после второго слоя для использования в случае полного прорыва хлора через первый слой. В ситуациях, когда хлорамин не используется для обеззараживания воды, а уровень аммония в воде низок, может быть достаточно одного угольного слоя или угольных картриджных фильтров. Отработанные углеродные носители должны быть удалены и заменены новыми носителями в соответствии с графиком замены, определяемым регулярным контролем. Например, когда испытание между слоями показывает, что первый слой исчерпан, второй слой должен быть перемещен в первое положение, второй слой заменен новым слоем, а отработанный слой удален. Если пробы из первого пробоотборного отверстия положительны по общему хлору, то работа может быть продолжена в течение короткого времени (до 72 ч) до установки сменного слоя при условии, что пробы из второго пробоотборного отверстия остаются отрицательными. Было признано, что, возможно, нецелесообразно поворачивать положение слоя в установках, использующих большие, поддающиеся обратной промывке угольные слои. Однако была выражена озабоченность по поводу того, что пропускная способность второго слоя может непредсказуемо уменьшиться и больше не обеспечивать соответствующей очистки в случае прорыва первого слоя. По этой причине было рекомендовано заменить оба слоя, если вращение слоя было невозможно.</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Гранулированный активированный уголь с йодным числом более 900 считается оптимальным для удаления хлора/хлорамина. При использовании гранулированного активированного угля в качестве среды для удаления хлорамина из воды, содержащей </w:t>
      </w:r>
      <w:r>
        <w:rPr>
          <w:rStyle w:val="FontStyle54"/>
          <w:rFonts w:ascii="Times New Roman" w:hAnsi="Times New Roman" w:cs="Times New Roman"/>
          <w:sz w:val="24"/>
          <w:lang w:val="kk-KZ" w:eastAsia="en-US"/>
        </w:rPr>
        <w:t xml:space="preserve">                     </w:t>
      </w:r>
      <w:r w:rsidRPr="001C6D8D">
        <w:rPr>
          <w:rStyle w:val="FontStyle54"/>
          <w:rFonts w:ascii="Times New Roman" w:hAnsi="Times New Roman" w:cs="Times New Roman"/>
          <w:sz w:val="24"/>
          <w:lang w:val="kk-KZ" w:eastAsia="en-US"/>
        </w:rPr>
        <w:t>&gt;</w:t>
      </w:r>
      <w:r>
        <w:rPr>
          <w:rStyle w:val="FontStyle54"/>
          <w:rFonts w:ascii="Times New Roman" w:hAnsi="Times New Roman" w:cs="Times New Roman"/>
          <w:sz w:val="24"/>
          <w:lang w:val="kk-KZ" w:eastAsia="en-US"/>
        </w:rPr>
        <w:t xml:space="preserve"> </w:t>
      </w:r>
      <w:r w:rsidRPr="001C6D8D">
        <w:rPr>
          <w:rStyle w:val="FontStyle54"/>
          <w:rFonts w:ascii="Times New Roman" w:hAnsi="Times New Roman" w:cs="Times New Roman"/>
          <w:sz w:val="24"/>
          <w:lang w:val="kk-KZ" w:eastAsia="en-US"/>
        </w:rPr>
        <w:t xml:space="preserve">1 мг/л хлорамина, каждый слой должен иметь время контакта частиц с водой (ЕВСТ) не менее 5 мин при максимальном расходе обработанной воды (общий ЕВСТ не менее 10 мин). Некоторые исходные воды, такие как вода с высоким содержанием органических веществ, могут потребовать альтернативных видов углерода, которые более устойчивы к органическому загрязнению. Эти типы углерода могут иметь йодное число менее 900. При использовании других форм углерода или гранулированного активированного угля с йодным числом менее 900 изготовитель должен предоставить эксплуатационные данные, свидетельствующие о том, что каждый слой обладает способностью снижать общую концентрацию хлора в питательной воде до менее 0,1 мг/л при работе с максимальным ожидаемым расходом в течение максимального временного интервала между плановыми испытаниями очищенной воды на содержание общего хлора. Регенерированный углерод не должен использоваться. Некоторые гранулированные активированные угли содержат алюминий, который может элюировать из углерода и добавлять к нагрузке алюминия, </w:t>
      </w:r>
      <w:r w:rsidRPr="001C6D8D">
        <w:rPr>
          <w:rStyle w:val="FontStyle54"/>
          <w:rFonts w:ascii="Times New Roman" w:hAnsi="Times New Roman" w:cs="Times New Roman"/>
          <w:sz w:val="24"/>
          <w:lang w:val="kk-KZ" w:eastAsia="en-US"/>
        </w:rPr>
        <w:lastRenderedPageBreak/>
        <w:t>удаляемого обратным осмосом или ионным обменом. Использование промытого кислотой углерода сводит к минимуму этот источник алюминия в воде.</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Там, где это целесообразно, портативные диализные системы, снабженные водой, которая, как известно, содержит хлорамин, должны включать последовательно два углеродных слоя, которые вместе обеспечивают 10-минутный ЕВСТ. В тех случаях, когда это непрактично, можно использовать альтернативные технологии при условии наличия избыточных средств удаления хлорамина и проверки общей концентрации хлора менее 0,1 мг/л в образце, собранном после первичного устройства перед каждой обработкой. Возможные альтернативы включают в себя: гранулированный слой активированного угля, за которым следует плотный блок углерода; и два фильтра блока углерода последовательно.</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Угольные слои, используемые для удаления свободного хлора и хлорамина, иногда располагаются в виде последовательно соединенных пар пластов, так что они не должны быть чрезмерно большими. Слои внутри каждой пары имеют одинаковый размер, и вода, которая течет через них, параллельна. Для удаления хлорамина из воды, содержащей </w:t>
      </w:r>
      <w:r>
        <w:rPr>
          <w:rStyle w:val="FontStyle54"/>
          <w:rFonts w:ascii="Times New Roman" w:hAnsi="Times New Roman" w:cs="Times New Roman"/>
          <w:sz w:val="24"/>
          <w:lang w:val="kk-KZ" w:eastAsia="en-US"/>
        </w:rPr>
        <w:t xml:space="preserve">                </w:t>
      </w:r>
      <w:r w:rsidRPr="001C6D8D">
        <w:rPr>
          <w:rStyle w:val="FontStyle54"/>
          <w:rFonts w:ascii="Times New Roman" w:hAnsi="Times New Roman" w:cs="Times New Roman"/>
          <w:sz w:val="24"/>
          <w:lang w:val="kk-KZ" w:eastAsia="en-US"/>
        </w:rPr>
        <w:t>&gt;</w:t>
      </w:r>
      <w:r>
        <w:rPr>
          <w:rStyle w:val="FontStyle54"/>
          <w:rFonts w:ascii="Times New Roman" w:hAnsi="Times New Roman" w:cs="Times New Roman"/>
          <w:sz w:val="24"/>
          <w:lang w:val="kk-KZ" w:eastAsia="en-US"/>
        </w:rPr>
        <w:t xml:space="preserve"> </w:t>
      </w:r>
      <w:r w:rsidRPr="001C6D8D">
        <w:rPr>
          <w:rStyle w:val="FontStyle54"/>
          <w:rFonts w:ascii="Times New Roman" w:hAnsi="Times New Roman" w:cs="Times New Roman"/>
          <w:sz w:val="24"/>
          <w:lang w:val="kk-KZ" w:eastAsia="en-US"/>
        </w:rPr>
        <w:t>1 мг/л, каждая пара пластов должна иметь минимальное время контакта частиц с водой 5 мин при максимальном расходе потока через слой. При использовании последовательно соединенных пар слоев трубопроводы должны быть спроектированы таким образом, чтобы свести к минимуму различия в сопротивлении потоку от входа и выхода между каждой параллельной серией слоев, чтобы обеспечить равный объем воды, протекающей через все слои.</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Хотя обработка воды углеродом является методом, обычно используемым для удовлетворения требования 4.2.2 в отношении общего хлора, было признано, что в некоторых ситуациях углерод может недостаточно эффективно удалять хлорамин. Несоответствующее удаление хлорамина может происходить при наличии хлораминов в форме природных N-хлораминов или при использовании таких методов, как использование высокого рН или включение ортофосфата или полифосфатов. Если рН поступающей воды выходит за пределы диапазона, указанного изготовителем, углерод может не функционировать должным образом и быстро истощаться. В других ситуациях, таких как острый диализ с переносными системами очистки воды, может оказаться нецелесообразным использовать объем углерода, необходимый для обеспечения соответствующего удаления хлорамина. В таких условиях могут потребоваться другие методы удаления хлорамина в дополнение к углероду. Инъекция кислоты может быть использована для снижения рН (см. В.2.6), анионообменники (также известные как органические поглотители) могут быть установлены перед углеродными слоями для удаления органических веществ и других веществ, которые могут загрязнять углеродные слои, а деалкализаторы могут быть использованы для снижения щелочности. Известно, что добавление бисульфита натрия перед системой обратного осмоса было успешным в устранении хлорамина при применении гемодиализа. Аскорбиновая кислота также была добавлена к кислотному концентрату, используемому для удаления хлорамина из конечного диализирующего раствора. Следует отметить, что для нейтрализации хлорамина в воде аскорбиновой кислотой требуется минимальное время контакта. Если аскорбиновая кислота используется для нейтрализации хлорамина, и если происходит необъяснимое разрушение эритроцитов или анемия, следует исследовать эффективность нейтрализации хлорамина аскорбиновой кислотой. Другие способы удаления хлорамина, такие как окислительно-восстановительные сплавы и ультрафиолетовое излучение, используются в фармацевтической и электронной промышленности. В настоящее время эти процессы оцениваются для применения на гемодиализе. Окончательный выбор системы удаления хлорамина в условиях гемодиализа будет зависеть от местных условий и, возможно, потребуется включить более одного из описанных выше процессов. </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lastRenderedPageBreak/>
        <w:t>В.2.6 Системы впрыска химических веществ</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Химические инжекционные системы могут использоваться в секции предварительной обработки системы очистки воды в дополнение к физическим процессам очистки, описанным в предыдущих пунктах. Применение химических инъекций включает добавление бисульфита натрия для удаления хлорамина и добавление кислоты для регулировки рН.</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Системы впрыска химических веществ состоят из резервуара, содержащего впрыскиваемое химическое вещество, дозирующего насоса и смесительной камеры, расположенной в магистральном водопроводе. Системы впрыска химических веществ также включают в себя некоторые средства регулирования дозирующего насоса для контроля добавления химического вещества. Эта система должна быть разработана таким образом, чтобы жестко контролировать добавление химического вещества. Система управления должна гарантировать, что химическое вещество добавляется только тогда, когда вода проходит через каскад предварительной обработки, и что оно добавляется в фиксированной пропорции к потоку воды или на основе какого-либо постоянно контролируемого параметра, такого как рН, с использованием автоматизированной системы управления. Если для введения химического вещества используется автоматизированная система управления, то контрольный параметр должен контролироваться независимо. Кроме того, должны быть предусмотрены средства проверки того, что концентрации любых остатков, образующихся в результате добавления химического вещества в воду, снижаются до безопасного уровня до того, как вода достигнет точки своего использования.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При добавлении кислоты для регулирования рН следует использовать минеральную кислоту; органические кислоты могут выступать в качестве питательного вещества и способствовать размножению бактерий.</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Были высказаны оговорки в отношении добавления химических веществ в воду. Однако было признано, что добавление химических веществ может быть необходимым в некоторых обстоятельствах, если объект должен соответствовать максимальным уровням загрязнения, указанным в 4.2.2. Например, если городская вода содержит высокие уровни N-хлораминов или хлорамина в присутствии ортофосфата или полифосфата, инъекция бисульфита натрия может быть одним из немногих доступных вариантов удаления хлорамина.</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Если химическая инъекция используется в каскаде предварительной обработки, пользователи должны убедиться, что добавление химического вещества не мешает работе последующих процессов очистки, включая процесс первичной очистки. Например, производительность тонкопленочных композитных мембран обратного осмоса может зависеть от рН питательной воды. При уровнях рН ниже 7 отторжение фторида может быть существенно снижено по сравнению с его отторжением при рН 8.</w:t>
      </w:r>
    </w:p>
    <w:p w:rsid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В.2.7 Обратный осмос</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Системы обратного осмоса (RO) стали широко использоваться в системах очистки воды для гемодиализа, главным образом потому, что эти устройства удаляют растворенные неорганические и органические растворенные вещества, а также бактерии и бактериальные эндотоксины.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К системам обратного осмоса предъявляются следующие требования: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а) при использовании для подготовки воды для гемодиализа, либо отдельно, либо в качестве последней стадии химической очистки в системе очистки воды, системы обратного осмоса должны быть показаны способными при установке соответствовать требованиям ISO 23500-3 при испытании с типичной питательной водой пользователя.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lastRenderedPageBreak/>
        <w:t>b) устройства обратного осмоса должны быть оснащены онлайн-мониторами, позволяющими определять скорость отбраковки и проводимость очищенной воды. Монитор проводимости очищенной воды должен активировать звуковые и визуальные сигналы тревоги, когда проводимость очищенной воды превышает заданный предел тревоги. Сигнализация должна быть способна уведомлять персонал в зоне ухода за пациентами, когда обратный осмос является последним процессом химической очистки в системе очистки воды. Мониторы, измеряющие удельное сопротивление, могут использоваться вместо мониторов проводимости.</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Компоненты процесса разделения мембран RO представляют собой полупроницаемую мембрану, обычно в спирально-навитой конфигурации, насос и различные регуляторы расхода и давления для направления потока воды через систему. В процессе работы питательная вода нагнетается насосом RO под давлением и затем направляется вдоль поверхности полупроницаемой мембраны. Часть воды вытесняется через мембрану; процесс, который удаляет неорганические и органические растворенные вещества, бактерии и бактериальные эндотоксины. Остальная часть воды проходит по поверхности мембраны и направляется в дренаж. Вода, проходящая через мембрану, называется «очищенной водой» или «пермеатом». Вода, которая течет вдоль поверхности мембраны и к дренажу, известна как «отбракованная вода» или «концентрат». Такая конфигурация потока, известная как «фильтрация поперечного потока», предотвращает постепенное накопление материалов на поверхности мембраны, что в конечном итоге приведет к загрязнению и разрушению мембраны. В некоторых системах обратного осмоса часть потока отбракованной воды рециркулируется в поток питательной воды. Эта рециркуляция обеспечивает более высокие скорости движения по поверхности мембраны, что может помочь уменьшить загрязнение мембраны, а также обеспечить более высокое общее использование воды. Системы RO могут работать в одноступенчатой или двухступенчатой (двухпроходной) конфигурации в зависимости от качества питательной воды и/или местных требований и предпочтений. В двухступенчатом RO очищенная вода с первой ступени действует как питательная вода для второй ступени.</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Отметим, что скорость отбраковки второй ступени в двухступенчатой системе обратного осмоса может быть значительно ниже, чем скорость отбраковки первой ступени. Одна из причин разницы в скорости отбраковки связана с растворенным СО</w:t>
      </w:r>
      <w:r w:rsidRPr="001C6D8D">
        <w:rPr>
          <w:rStyle w:val="FontStyle54"/>
          <w:rFonts w:ascii="Times New Roman" w:hAnsi="Times New Roman" w:cs="Times New Roman"/>
          <w:sz w:val="24"/>
          <w:vertAlign w:val="subscript"/>
          <w:lang w:val="kk-KZ" w:eastAsia="en-US"/>
        </w:rPr>
        <w:t>2</w:t>
      </w:r>
      <w:r w:rsidRPr="001C6D8D">
        <w:rPr>
          <w:rStyle w:val="FontStyle54"/>
          <w:rFonts w:ascii="Times New Roman" w:hAnsi="Times New Roman" w:cs="Times New Roman"/>
          <w:sz w:val="24"/>
          <w:lang w:val="kk-KZ" w:eastAsia="en-US"/>
        </w:rPr>
        <w:t>.</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Системы RO также могут быть оснащены расходомерами, обычно в очищенной воде и отбракованных потоках воды, для контроля выхода системы RO и манометрами для контроля давления в различных точках системы. Хотя это и не свидетельствует о качестве очищенной воды, контрольные расходы и давления могут помочь гарантировать, что система работает в соответствии со спецификациями изготовителя и, таким образом, поможет обеспечить надежность RO.</w:t>
      </w:r>
    </w:p>
    <w:p w:rsid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Кроме того, рекомендуется, чтобы, когда система обратного осмоса является последним процессом химической очистки в систему очистки воды, были включены средства для предотвращения воздействия на пациента небезопасной очищенной воды в случае тревоги проводимости очищенной воды. Такие средства могут включать отвод очищенной воды в канализацию, а также активацию звуковых и/или визуальных сигналов тревоги, которые должны быть расположены для обеспечения быстрого реагирования персона</w:t>
      </w:r>
      <w:r>
        <w:rPr>
          <w:rStyle w:val="FontStyle54"/>
          <w:rFonts w:ascii="Times New Roman" w:hAnsi="Times New Roman" w:cs="Times New Roman"/>
          <w:sz w:val="24"/>
          <w:lang w:val="kk-KZ" w:eastAsia="en-US"/>
        </w:rPr>
        <w:t>ла в зоне ухода за пациентом.</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В зависимости от конфигурации мембраны и материалов конструкции, системы RO чувствительны к различным условиям питательной воды, которые могут привести к снижению производительности или преждевременному отказу. Чтобы избежать таких проблем, пользователи должны тщательно следовать инструкциям изготовителя по очистке питательной воды и надзору за тем, чтобы RO работал в пределах своих конструктивных параметров.</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lastRenderedPageBreak/>
        <w:t>В.2.8 Деионизация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Деионизация (DI) - это процесс ионного обмена, который удаляет из воды как анионы (отрицательно заряженные ионы), так и катионы (положительно заряженные ионы). В процессе обмена гидроксильные ионы заменяют другие анионы питательной воды, а ионы водорода заменяют другие катионы питательной воды; гидроксильные и водородные ионы затем объединяются, образуя чистую воду. Системы DI могут содержать анионную и катионную смолы в отдельных сосудах, известных как «системы с двойным слоем», или могут иметь оба типа смол, смешанных вместе в одном сосуде, известном как «смешанные слои» или «унифицированные системы».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Деионизаторы являются эффективным средством удаления ионных загрязнений из воды. Однако они не удаляют неионогенные загрязнения и могут вносить бактериальные загрязнения в воду, а не удалять их. Неспособность деионизаторов удалять неионные загрязняющие вещества может ограничить удаление алюминия деионизацией, поскольку алюминий является амфотерным веществом, которое изменяется от катионного к анионному при изменении рН от кислого к основному [87]. При нейтральном рН алюминий присутствует в основном в виде коллоидного алюминия, который не несет заряда и не удаляется деионизацией [17]. Кроме того, деионизаторы обладают ограниченной способностью к удалению загрязняющих веществ. Как только деионизатор будет исчерпан водородом и гидроксильными ионами, следующие наименее плотно связанные ионы будут вытеснены более плотно связанными ионами. Например, как только гидроксильные ионы истощаются, анионные загрязняющие вещества в воде вытесняют фторид-ионы из анионообменной смолы [35]. Это явление привело к высокому содержанию фтора в очищенной воде, с последующей травмой пациента и смертью [33], [36]. Деионизация, даже в сочетании с эндотоксиновым фильтром, не удаляет некоторые низкомолекулярные токсичные бактериальные продукты, такие как микроцистины. По вышеуказанным причинам использование деионизации в качестве основного средства очистки воды, питающей несколько диализных аппаратов, категорически не рекомендуется. Деионизация может быть использована для полировки очищенной воды из системы обратного осмоса или может быть использована в качестве резерва, если система обратного осмоса выходит из строя. Многие считают, что двухступенчатая система обратного осмоса, работающая в избыточной конфигурации, предпочтительнее комбинации обратного осмоса и деионизации.</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Наиболее распространенная конфигурация для DI состоит в том, чтобы иметь два смешанных слоя последовательно, с мониторами сопротивления, размещенными ниже по потоку от каждого слоя. При исчерпании первого слоя опора на воду с достаточно высоким удельным сопротивлением смещается на второй слой, и процедуры диализа могут быть продолжены в течение короткого времени, пока не будет установлен сменный слой, при условии, что очищенная вода из второго резервуара имеет удельное сопротивление 1 МОмсм или больше.</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DI имеет конечную емкость, превышение которой приведет к опасно высокому уровню загрязняющих веществ в очищенной воде. Поэтому системы DI, используемые для подготовки воды для гемодиализа, должны постоянно контролироваться для получения воды с удельным сопротивлением 1 МОмсм или более (или проводимостью </w:t>
      </w:r>
      <w:r>
        <w:rPr>
          <w:rStyle w:val="FontStyle54"/>
          <w:rFonts w:ascii="Times New Roman" w:hAnsi="Times New Roman" w:cs="Times New Roman"/>
          <w:sz w:val="24"/>
          <w:lang w:val="kk-KZ" w:eastAsia="en-US"/>
        </w:rPr>
        <w:t xml:space="preserve">                  </w:t>
      </w:r>
      <w:r w:rsidRPr="001C6D8D">
        <w:rPr>
          <w:rStyle w:val="FontStyle54"/>
          <w:rFonts w:ascii="Times New Roman" w:hAnsi="Times New Roman" w:cs="Times New Roman"/>
          <w:sz w:val="24"/>
          <w:lang w:val="kk-KZ" w:eastAsia="en-US"/>
        </w:rPr>
        <w:t>1 мкс/см или менее) при температуре 25 °С. Звуковая и визуальная сигнализации должны быть активированы, когда удельное сопротивление очищенной воды падает ниже этого уровня, и поток очищенной воды должен быть предотвращен от достижения любой точки использования, например путем отвода в дренаж. Сигнализация должна быть способна оповещать персонал в зоне ухода за пациентом. Ни при каких обстоятельствах не следует использовать DI, когда очищенная вода конечного слоя имеет удельное сопротивление ниже 1 МОмсм.</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lastRenderedPageBreak/>
        <w:t>Питательная вода для систем деионизации должна быть предварительно обработана активированным углем или аналогичной альтернативой, чтобы предотвратить образование нитрозамина. </w:t>
      </w:r>
    </w:p>
    <w:p w:rsid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Если система деионизации является последним процессом в системе очистки воды, за ней должен следовать эндотоксиновый фильтр или другое бактериальное и эндотоксинредуцирующее устройство. Тенденция для деионизаторов вносить бактериальные загрязняющие вещества в воду больше, когда деионизаторы хранятся в качестве резервного устройства для системы обратного осмоса, особенно если нет потока через деионизаторы. Некоторые установки противодействуют этой тенденции, подключая деионизаторы параллельно магистральному водопроводу и поддерживая низкий расход через них. Альтернативный подход заключается в заключении контракта с местным поставщиком на поставку резервных деионизаторов по требованию.</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sz w:val="20"/>
          <w:szCs w:val="20"/>
          <w:lang w:val="kk-KZ" w:eastAsia="en-US"/>
        </w:rPr>
      </w:pPr>
      <w:r w:rsidRPr="001C6D8D">
        <w:rPr>
          <w:rStyle w:val="FontStyle54"/>
          <w:rFonts w:ascii="Times New Roman" w:hAnsi="Times New Roman" w:cs="Times New Roman"/>
          <w:sz w:val="20"/>
          <w:szCs w:val="20"/>
          <w:lang w:val="kk-KZ" w:eastAsia="en-US"/>
        </w:rPr>
        <w:t>Примечание – Приведенные выше требования к деионизации могут не применяться к технологии электродеионизации (EDI), которая может быть использована в качестве альтернативы деионизации после обратного осмоса в системах гемодиализа.</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В.2.9 Эндотоксиновые фильтры</w:t>
      </w:r>
    </w:p>
    <w:p w:rsid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Эндотоксиновые фильтры представляют собой мембранные разделительные устройства, которые могут быть использованы для удаления как бактерий, так и эндотоксинов. Эндотоксиновые фильтры следует размещать в системах воды для диализа в местах ниже по течению от деионизации. Они также могут быть использованы в конце очистного каскада и в системах распределения диализной воды или центрального диализирующего раствора. Эндотоксиновые фильтры могут также использоваться в линии диализирующего раствора отдельных аппаратов для диализа в качестве окончательного барьера против бактерий и эндотоксинов. Эти фильтры считаются частью аппарата для диализа и могут не соответствовать всем последующим рекомендациям.</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sz w:val="20"/>
          <w:szCs w:val="20"/>
          <w:lang w:val="kk-KZ" w:eastAsia="en-US"/>
        </w:rPr>
      </w:pPr>
      <w:r w:rsidRPr="001C6D8D">
        <w:rPr>
          <w:rStyle w:val="FontStyle54"/>
          <w:rFonts w:ascii="Times New Roman" w:hAnsi="Times New Roman" w:cs="Times New Roman"/>
          <w:sz w:val="20"/>
          <w:szCs w:val="20"/>
          <w:lang w:val="kk-KZ" w:eastAsia="en-US"/>
        </w:rPr>
        <w:t>Примечание – Эндотоксиновые фильтры не удаляют низкомолекулярные микробные метаболиты.</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Эндотоксиновые мембраны, используемые для гемодиализа, обычно имеют спирально-навитую конфигурацию или конфигурацию полых волокон. Спирально-навитые ультрафильтры обычно работают в режиме поперечного потока, причем часть питательной воды выталкивается через мембрану, а остальная часть направляется вдоль поверхности мембраны для слива. Как и при обратном осмосе, поперечная фильтрация предназначена для минимизации загрязнения мембран. Полые волокнистые эндотоксиновые фильтры обычно размещаются в сосудах, аналогичных тем, которые используются для картриджных осадочных фильтров, и могут работать в режиме поперечного потока или тупика (без поперечного потока). При использовании в системе очистки воды для гемодиализа следует показать, что эндотоксиновый фильтр снижает концентрацию бактерий и эндотоксинов, поступающих в фильтр, по меньшей мере на столько же величин, сколько указано в маркировке изготовителя.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Эндотоксиновые фильтры должны быть оснащены средствами оценки целостности фильтров и загрязнения во время их использования. Одним из подходящих средств является контроль перепада давления (АР) через фильтр при заданном расходе очищенной воды с помощью манометров на впускных (питательных) и выпускных (продуктовых) водопроводах. В качестве альтернативы расход очищенной воды может быть измерен при заданном перепаде давления. Такое наблюдение будет указывать, когда загрязнение мембраны прогрессирует до точки, в которой требуется замена мембраны или ее очистка. Наблюдение также гарантирует, что устройство эксплуатируется в соответствии с </w:t>
      </w:r>
      <w:r w:rsidRPr="001C6D8D">
        <w:rPr>
          <w:rStyle w:val="FontStyle54"/>
          <w:rFonts w:ascii="Times New Roman" w:hAnsi="Times New Roman" w:cs="Times New Roman"/>
          <w:sz w:val="24"/>
          <w:lang w:val="kk-KZ" w:eastAsia="en-US"/>
        </w:rPr>
        <w:lastRenderedPageBreak/>
        <w:t>инструкциями изготовителя. Эндотоксиновые фильтры должны быть включены в рутинные процедуры дезинфекции, чтобы предотвратить неконтролируемое размножение бактерий в фильтре. Если бактериальная пролиферация не контролируется, бактерии могут «прорасти» через мембрану и загрязнить отсек очищенной воды фильтра. Эндотоксиновые фильтры, работающие в режиме поперечного потока, также должны быть оснащены расходомером для контроля расхода воды, направляемой в слив.</w:t>
      </w:r>
    </w:p>
    <w:p w:rsid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B.3 Хранение и распределение воды для диализа</w:t>
      </w:r>
    </w:p>
    <w:p w:rsidR="001C6D8D" w:rsidRDefault="001C6D8D" w:rsidP="001C6D8D">
      <w:pPr>
        <w:pStyle w:val="Style15"/>
        <w:widowControl/>
        <w:ind w:firstLine="567"/>
        <w:rPr>
          <w:rStyle w:val="FontStyle54"/>
          <w:rFonts w:ascii="Times New Roman" w:hAnsi="Times New Roman" w:cs="Times New Roman"/>
          <w:b/>
          <w:sz w:val="24"/>
          <w:lang w:val="kk-KZ" w:eastAsia="en-US"/>
        </w:rPr>
      </w:pP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.3.1 Общие положения</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Функция системы хранения и распределения воды заключается в распределении воды для диализа из очистного каскада в пункты ее использования, включая индивидуальные аппараты для диализа, Дозирующие системы, используемые для централизованного приготовления диализирующего раствора, оборудование для повторной обработки диализатора и системы подготовки концентрата. Система хранения и распределения воды обычно содержит большой объем воды, подверженной воздействию большой площади поверхности трубопроводов и стенок резервуаров для хранения. Поскольку хлор и хлорамин удаляются в процессе очистки, вода не содержит бактериостатического агента. Такое сочетание обстоятельств предрасполагает увлажненные поверхности к размножению бактерий и образованию биопленок. Поэтому любая система хранения и распределения диализной </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воды должна быть разработана специально для облегчения борьбы с бактериями, включая меры по предотвращению бактериальной колонизации и обеспечению легкой и частой дезинфекции.</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.3.2 Хранение воды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При использовании резервуары для хранения должны иметь коническое или чашеобразное основание и сливаться из самой нижней точки основания. Резервуары для хранения должны иметь плотно прилегающую крышку и вентилироваться через гидрофобный воздушный фильтр от 0,22 до 0,45 мкм. Фильтр следует менять регулярно в соответствии с инструкциями изготовителя или в случае его намокания. Необходимо предусмотреть средства для эффективной дезинфекции любого резервуара для хранения, установленного в системе распределения воды. Внутренние механизмы распыления могут способствовать эффективной дезинфекции и промывке резервуара для хранения.</w:t>
      </w:r>
    </w:p>
    <w:p w:rsidR="001C6D8D" w:rsidRPr="001C6D8D" w:rsidRDefault="001C6D8D" w:rsidP="001C6D8D">
      <w:pPr>
        <w:pStyle w:val="Style15"/>
        <w:widowControl/>
        <w:ind w:firstLine="567"/>
        <w:rPr>
          <w:rStyle w:val="FontStyle54"/>
          <w:rFonts w:ascii="Times New Roman" w:hAnsi="Times New Roman" w:cs="Times New Roman"/>
          <w:b/>
          <w:sz w:val="24"/>
          <w:lang w:val="kk-KZ" w:eastAsia="en-US"/>
        </w:rPr>
      </w:pPr>
      <w:r>
        <w:rPr>
          <w:rStyle w:val="FontStyle54"/>
          <w:rFonts w:ascii="Times New Roman" w:hAnsi="Times New Roman" w:cs="Times New Roman"/>
          <w:b/>
          <w:sz w:val="24"/>
          <w:lang w:val="kk-KZ" w:eastAsia="en-US"/>
        </w:rPr>
        <w:t>В</w:t>
      </w:r>
      <w:r w:rsidRPr="001C6D8D">
        <w:rPr>
          <w:rStyle w:val="FontStyle54"/>
          <w:rFonts w:ascii="Times New Roman" w:hAnsi="Times New Roman" w:cs="Times New Roman"/>
          <w:b/>
          <w:sz w:val="24"/>
          <w:lang w:val="kk-KZ" w:eastAsia="en-US"/>
        </w:rPr>
        <w:t>.3.3 Распределение воды</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 xml:space="preserve">Используются два типа систем распределения воды: системы прямого питания и системы косвенного питания. В системе прямой подачи вода для диализа поступает непосредственно из последней ступени очистного каскада в пункты использования. В системе косвенного питания вода для диализа течет из конца очистного каскада в резервуар для хранения. Оттуда она распределяется по точкам использования. Система хранения и распределения воды, выбранная для конкретной ситуации, должна обеспечивать простейший возможный путь потока и содержать наименьший объем воды, соответствующий эксплуатационным потребностям установки для диализа. Самая простая система - это, как правило, система прямого питания. Однако системы прямой подачи могут оказаться непрактичными. Например, давление в конце очистного каскада может быть недостаточным для обеспечения адекватного потока и давления в точках использования без дожимного насоса. Если используется система прямой подачи, то необходимо также определить размер каскада очистки воды, чтобы обеспечить достаточное количество воды для удовлетворения пикового спроса. По этим причинам может быть использована система косвенной подачи с накопительным баком. Поскольку резервуары для хранения обеспечивают большую площадь поверхности для </w:t>
      </w:r>
      <w:r w:rsidRPr="001C6D8D">
        <w:rPr>
          <w:rStyle w:val="FontStyle54"/>
          <w:rFonts w:ascii="Times New Roman" w:hAnsi="Times New Roman" w:cs="Times New Roman"/>
          <w:sz w:val="24"/>
          <w:lang w:val="kk-KZ" w:eastAsia="en-US"/>
        </w:rPr>
        <w:lastRenderedPageBreak/>
        <w:t xml:space="preserve">потенциального образования биопленки, их объем должен быть сведен к минимуму, чтобы максимизировать оборот воды в резервуаре. Независимо от того, какой тип системы используется, системы распределения воды должны быть сконфигурированы как непрерывный контур и предназначены для минимизации размножения бактерий и образования биопленок (см. </w:t>
      </w:r>
      <w:r>
        <w:rPr>
          <w:rStyle w:val="FontStyle54"/>
          <w:rFonts w:ascii="Times New Roman" w:hAnsi="Times New Roman" w:cs="Times New Roman"/>
          <w:sz w:val="24"/>
          <w:lang w:val="kk-KZ" w:eastAsia="en-US"/>
        </w:rPr>
        <w:t>раздел</w:t>
      </w:r>
      <w:r w:rsidRPr="001C6D8D">
        <w:rPr>
          <w:rStyle w:val="FontStyle54"/>
          <w:rFonts w:ascii="Times New Roman" w:hAnsi="Times New Roman" w:cs="Times New Roman"/>
          <w:sz w:val="24"/>
          <w:lang w:val="kk-KZ" w:eastAsia="en-US"/>
        </w:rPr>
        <w:t xml:space="preserve"> 8). Центробежный насос, изготовленный из инертных материалов, необходим для распределения диализной воды и оказания помощи в эффективном обеззараживании. Для этой цели предпочтителен многоступенчатый центробежный насос.</w:t>
      </w:r>
    </w:p>
    <w:p w:rsidR="001C6D8D" w:rsidRP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Системы прямого распределения подачи обычно возвращают неиспользованную воду для диализа на сторону подачи блока обратного осмоса. Если давление в конце распределительного контура уменьшается до значения ниже давления воды на входе в насос обратного осмоса, то может произойти ретроградный поток неочищенной воды в распределительный контур. Чтобы свести к минимуму этот риск, рекомендуется использовать двойные обратные клапаны или разрывной резервуар на входе в систему обратного осмоса с воздушным зазором на линиях от каскада предварительной обработки и распределительного контура для предотвращения ретроградного потока и контролировать давление в конце распределительного контура.</w:t>
      </w:r>
    </w:p>
    <w:p w:rsidR="001C6D8D" w:rsidRDefault="001C6D8D" w:rsidP="001C6D8D">
      <w:pPr>
        <w:pStyle w:val="Style15"/>
        <w:widowControl/>
        <w:ind w:firstLine="567"/>
        <w:rPr>
          <w:rStyle w:val="FontStyle54"/>
          <w:rFonts w:ascii="Times New Roman" w:hAnsi="Times New Roman" w:cs="Times New Roman"/>
          <w:sz w:val="24"/>
          <w:lang w:val="kk-KZ" w:eastAsia="en-US"/>
        </w:rPr>
      </w:pPr>
      <w:r w:rsidRPr="001C6D8D">
        <w:rPr>
          <w:rStyle w:val="FontStyle54"/>
          <w:rFonts w:ascii="Times New Roman" w:hAnsi="Times New Roman" w:cs="Times New Roman"/>
          <w:sz w:val="24"/>
          <w:lang w:val="kk-KZ" w:eastAsia="en-US"/>
        </w:rPr>
        <w:t>Распределительные системы для воды для диализа должны быть построены из материалов, которые не содержат химических веществ, таких как алюминий, медь, свинец и цинк, или бактериальных загрязнений в диализной воде. Выбор материалов, используемых для системы распределения воды, также будет зависеть от предлагаемого способа обеззараживания, таблица В. 1 содержит рекомендации по совместимости различных материалов и дезинфицирующих средств. Какой бы материал ни использовался, следует позаботиться о том, чтобы выбрать продукт со свойствами, обеспечивающими наименее благоприятную среду для размножения бактерий, например гладкую внутреннюю поверхность.</w:t>
      </w:r>
    </w:p>
    <w:p w:rsidR="001C6D8D" w:rsidRDefault="001C6D8D" w:rsidP="001C6D8D">
      <w:pPr>
        <w:pStyle w:val="Style15"/>
        <w:widowControl/>
        <w:ind w:firstLine="567"/>
        <w:rPr>
          <w:rStyle w:val="FontStyle54"/>
          <w:rFonts w:ascii="Times New Roman" w:hAnsi="Times New Roman" w:cs="Times New Roman"/>
          <w:sz w:val="24"/>
          <w:lang w:val="kk-KZ" w:eastAsia="en-US"/>
        </w:rPr>
      </w:pPr>
    </w:p>
    <w:p w:rsidR="001C6D8D" w:rsidRDefault="001C6D8D" w:rsidP="001C6D8D">
      <w:pPr>
        <w:pStyle w:val="Style15"/>
        <w:widowControl/>
        <w:ind w:firstLine="0"/>
        <w:jc w:val="center"/>
        <w:rPr>
          <w:rStyle w:val="FontStyle54"/>
          <w:rFonts w:ascii="Times New Roman" w:hAnsi="Times New Roman" w:cs="Times New Roman"/>
          <w:b/>
          <w:sz w:val="24"/>
          <w:lang w:val="kk-KZ" w:eastAsia="en-US"/>
        </w:rPr>
      </w:pPr>
      <w:r w:rsidRPr="001C6D8D">
        <w:rPr>
          <w:rStyle w:val="FontStyle54"/>
          <w:rFonts w:ascii="Times New Roman" w:hAnsi="Times New Roman" w:cs="Times New Roman"/>
          <w:b/>
          <w:sz w:val="24"/>
          <w:lang w:val="kk-KZ" w:eastAsia="en-US"/>
        </w:rPr>
        <w:t>Таблица В.1 – Руководство по трубопроводным материалам, используемым в системах распределения воды для диализа, и их совместимости с обычными дезинфицирующими средствами</w:t>
      </w:r>
    </w:p>
    <w:tbl>
      <w:tblPr>
        <w:tblW w:w="9498" w:type="dxa"/>
        <w:tblInd w:w="40" w:type="dxa"/>
        <w:tblLayout w:type="fixed"/>
        <w:tblCellMar>
          <w:left w:w="40" w:type="dxa"/>
          <w:right w:w="40" w:type="dxa"/>
        </w:tblCellMar>
        <w:tblLook w:val="0000" w:firstRow="0" w:lastRow="0" w:firstColumn="0" w:lastColumn="0" w:noHBand="0" w:noVBand="0"/>
      </w:tblPr>
      <w:tblGrid>
        <w:gridCol w:w="1701"/>
        <w:gridCol w:w="1843"/>
        <w:gridCol w:w="1559"/>
        <w:gridCol w:w="1843"/>
        <w:gridCol w:w="1559"/>
        <w:gridCol w:w="993"/>
      </w:tblGrid>
      <w:tr w:rsidR="001C6D8D" w:rsidRPr="001C6D8D" w:rsidTr="001C6D8D">
        <w:tc>
          <w:tcPr>
            <w:tcW w:w="1701" w:type="dxa"/>
            <w:tcBorders>
              <w:top w:val="single" w:sz="6" w:space="0" w:color="auto"/>
              <w:left w:val="single" w:sz="6" w:space="0" w:color="auto"/>
              <w:bottom w:val="double" w:sz="4" w:space="0" w:color="auto"/>
              <w:right w:val="single" w:sz="6" w:space="0" w:color="auto"/>
            </w:tcBorders>
          </w:tcPr>
          <w:p w:rsidR="001C6D8D" w:rsidRPr="001C6D8D" w:rsidRDefault="001C6D8D" w:rsidP="001C6D8D">
            <w:pPr>
              <w:widowControl/>
              <w:autoSpaceDE/>
              <w:autoSpaceDN/>
              <w:adjustRightInd/>
              <w:ind w:firstLine="0"/>
              <w:jc w:val="center"/>
              <w:rPr>
                <w:rFonts w:eastAsia="Arial"/>
                <w:b/>
                <w:sz w:val="24"/>
                <w:szCs w:val="24"/>
                <w:lang w:eastAsia="en-US"/>
              </w:rPr>
            </w:pPr>
            <w:r w:rsidRPr="001C6D8D">
              <w:rPr>
                <w:rFonts w:eastAsia="Arial"/>
                <w:b/>
                <w:sz w:val="24"/>
                <w:szCs w:val="24"/>
                <w:lang w:eastAsia="en-US"/>
              </w:rPr>
              <w:t>Материал</w:t>
            </w:r>
          </w:p>
        </w:tc>
        <w:tc>
          <w:tcPr>
            <w:tcW w:w="1843" w:type="dxa"/>
            <w:tcBorders>
              <w:top w:val="single" w:sz="6" w:space="0" w:color="auto"/>
              <w:left w:val="single" w:sz="6" w:space="0" w:color="auto"/>
              <w:bottom w:val="double" w:sz="4" w:space="0" w:color="auto"/>
              <w:right w:val="single" w:sz="6" w:space="0" w:color="auto"/>
            </w:tcBorders>
          </w:tcPr>
          <w:p w:rsidR="001C6D8D" w:rsidRPr="001C6D8D" w:rsidRDefault="001C6D8D" w:rsidP="001C6D8D">
            <w:pPr>
              <w:widowControl/>
              <w:autoSpaceDE/>
              <w:autoSpaceDN/>
              <w:adjustRightInd/>
              <w:ind w:firstLine="0"/>
              <w:jc w:val="center"/>
              <w:rPr>
                <w:rFonts w:eastAsia="Arial"/>
                <w:b/>
                <w:sz w:val="24"/>
                <w:szCs w:val="24"/>
                <w:lang w:eastAsia="en-US"/>
              </w:rPr>
            </w:pPr>
            <w:r w:rsidRPr="001C6D8D">
              <w:rPr>
                <w:rFonts w:eastAsia="Arial"/>
                <w:b/>
                <w:sz w:val="24"/>
                <w:szCs w:val="24"/>
                <w:lang w:eastAsia="en-US"/>
              </w:rPr>
              <w:t>Гипохлорит натрия (отбеливатель)</w:t>
            </w:r>
          </w:p>
        </w:tc>
        <w:tc>
          <w:tcPr>
            <w:tcW w:w="1559" w:type="dxa"/>
            <w:tcBorders>
              <w:top w:val="single" w:sz="6" w:space="0" w:color="auto"/>
              <w:left w:val="single" w:sz="6" w:space="0" w:color="auto"/>
              <w:bottom w:val="double" w:sz="4" w:space="0" w:color="auto"/>
              <w:right w:val="single" w:sz="6" w:space="0" w:color="auto"/>
            </w:tcBorders>
          </w:tcPr>
          <w:p w:rsidR="001C6D8D" w:rsidRPr="001C6D8D" w:rsidRDefault="001C6D8D" w:rsidP="001C6D8D">
            <w:pPr>
              <w:widowControl/>
              <w:autoSpaceDE/>
              <w:autoSpaceDN/>
              <w:adjustRightInd/>
              <w:ind w:firstLine="0"/>
              <w:jc w:val="center"/>
              <w:rPr>
                <w:rFonts w:eastAsia="Arial"/>
                <w:b/>
                <w:sz w:val="24"/>
                <w:szCs w:val="24"/>
                <w:lang w:eastAsia="en-US"/>
              </w:rPr>
            </w:pPr>
            <w:r w:rsidRPr="001C6D8D">
              <w:rPr>
                <w:rFonts w:eastAsia="Arial"/>
                <w:b/>
                <w:sz w:val="24"/>
                <w:szCs w:val="24"/>
                <w:lang w:eastAsia="en-US"/>
              </w:rPr>
              <w:t>Перуксусная кислота</w:t>
            </w:r>
          </w:p>
        </w:tc>
        <w:tc>
          <w:tcPr>
            <w:tcW w:w="1843" w:type="dxa"/>
            <w:tcBorders>
              <w:top w:val="single" w:sz="6" w:space="0" w:color="auto"/>
              <w:left w:val="single" w:sz="6" w:space="0" w:color="auto"/>
              <w:bottom w:val="double" w:sz="4" w:space="0" w:color="auto"/>
              <w:right w:val="single" w:sz="6" w:space="0" w:color="auto"/>
            </w:tcBorders>
          </w:tcPr>
          <w:p w:rsidR="001C6D8D" w:rsidRPr="001C6D8D" w:rsidRDefault="001C6D8D" w:rsidP="001C6D8D">
            <w:pPr>
              <w:widowControl/>
              <w:autoSpaceDE/>
              <w:autoSpaceDN/>
              <w:adjustRightInd/>
              <w:ind w:firstLine="0"/>
              <w:jc w:val="center"/>
              <w:rPr>
                <w:rFonts w:eastAsia="Arial"/>
                <w:b/>
                <w:sz w:val="24"/>
                <w:szCs w:val="24"/>
                <w:lang w:eastAsia="en-US"/>
              </w:rPr>
            </w:pPr>
            <w:r w:rsidRPr="001C6D8D">
              <w:rPr>
                <w:rFonts w:eastAsia="Arial"/>
                <w:b/>
                <w:sz w:val="24"/>
                <w:szCs w:val="24"/>
                <w:lang w:eastAsia="en-US"/>
              </w:rPr>
              <w:t>Формальдегид</w:t>
            </w:r>
          </w:p>
        </w:tc>
        <w:tc>
          <w:tcPr>
            <w:tcW w:w="1559" w:type="dxa"/>
            <w:tcBorders>
              <w:top w:val="single" w:sz="6" w:space="0" w:color="auto"/>
              <w:left w:val="single" w:sz="6" w:space="0" w:color="auto"/>
              <w:bottom w:val="double" w:sz="4" w:space="0" w:color="auto"/>
              <w:right w:val="single" w:sz="6" w:space="0" w:color="auto"/>
            </w:tcBorders>
          </w:tcPr>
          <w:p w:rsidR="001C6D8D" w:rsidRPr="001C6D8D" w:rsidRDefault="001C6D8D" w:rsidP="001C6D8D">
            <w:pPr>
              <w:widowControl/>
              <w:autoSpaceDE/>
              <w:autoSpaceDN/>
              <w:adjustRightInd/>
              <w:ind w:firstLine="0"/>
              <w:jc w:val="center"/>
              <w:rPr>
                <w:rFonts w:eastAsia="Arial"/>
                <w:b/>
                <w:sz w:val="24"/>
                <w:szCs w:val="24"/>
                <w:lang w:eastAsia="en-US"/>
              </w:rPr>
            </w:pPr>
            <w:r w:rsidRPr="001C6D8D">
              <w:rPr>
                <w:rFonts w:eastAsia="Arial"/>
                <w:b/>
                <w:sz w:val="24"/>
                <w:szCs w:val="24"/>
                <w:lang w:eastAsia="en-US"/>
              </w:rPr>
              <w:t>Горячая вода</w:t>
            </w:r>
          </w:p>
        </w:tc>
        <w:tc>
          <w:tcPr>
            <w:tcW w:w="993" w:type="dxa"/>
            <w:tcBorders>
              <w:top w:val="single" w:sz="6" w:space="0" w:color="auto"/>
              <w:left w:val="single" w:sz="6" w:space="0" w:color="auto"/>
              <w:bottom w:val="double" w:sz="4" w:space="0" w:color="auto"/>
              <w:right w:val="single" w:sz="6" w:space="0" w:color="auto"/>
            </w:tcBorders>
          </w:tcPr>
          <w:p w:rsidR="001C6D8D" w:rsidRPr="001C6D8D" w:rsidRDefault="001C6D8D" w:rsidP="0015144B">
            <w:pPr>
              <w:widowControl/>
              <w:autoSpaceDE/>
              <w:autoSpaceDN/>
              <w:adjustRightInd/>
              <w:ind w:firstLine="0"/>
              <w:jc w:val="center"/>
              <w:rPr>
                <w:rFonts w:eastAsia="Arial"/>
                <w:b/>
                <w:sz w:val="24"/>
                <w:szCs w:val="24"/>
                <w:lang w:val="kk-KZ" w:eastAsia="en-US"/>
              </w:rPr>
            </w:pPr>
            <w:r w:rsidRPr="001C6D8D">
              <w:rPr>
                <w:rFonts w:eastAsia="Arial"/>
                <w:b/>
                <w:sz w:val="24"/>
                <w:szCs w:val="24"/>
                <w:lang w:eastAsia="en-US"/>
              </w:rPr>
              <w:t>Озон</w:t>
            </w:r>
            <w:r w:rsidR="0015144B">
              <w:rPr>
                <w:rFonts w:eastAsia="Arial"/>
                <w:b/>
                <w:sz w:val="24"/>
                <w:szCs w:val="24"/>
                <w:vertAlign w:val="superscript"/>
                <w:lang w:val="kk-KZ" w:eastAsia="en-US"/>
              </w:rPr>
              <w:t>а</w:t>
            </w:r>
          </w:p>
        </w:tc>
      </w:tr>
      <w:tr w:rsidR="001C6D8D" w:rsidRPr="001C6D8D" w:rsidTr="001C6D8D">
        <w:tc>
          <w:tcPr>
            <w:tcW w:w="1701" w:type="dxa"/>
            <w:tcBorders>
              <w:top w:val="double" w:sz="4"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PVC (ПВХ)</w:t>
            </w:r>
          </w:p>
        </w:tc>
        <w:tc>
          <w:tcPr>
            <w:tcW w:w="1843" w:type="dxa"/>
            <w:tcBorders>
              <w:top w:val="double" w:sz="4"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double" w:sz="4"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double" w:sz="4"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double" w:sz="4"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993" w:type="dxa"/>
            <w:tcBorders>
              <w:top w:val="double" w:sz="4"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CPVC (ХПВХ)</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PVDF (ПВДФ)</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РЕХ</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SS</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РР (ПП)</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РЕ (ПЭ)</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ABS (АБС)</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PTFE (ПТФЭ)</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1701"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rPr>
                <w:rFonts w:eastAsia="Arial"/>
                <w:sz w:val="24"/>
                <w:szCs w:val="24"/>
                <w:lang w:eastAsia="en-US"/>
              </w:rPr>
            </w:pPr>
            <w:r w:rsidRPr="001C6D8D">
              <w:rPr>
                <w:rFonts w:eastAsia="Arial"/>
                <w:sz w:val="24"/>
                <w:szCs w:val="24"/>
                <w:lang w:eastAsia="en-US"/>
              </w:rPr>
              <w:t>Стекло</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84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1559"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c>
          <w:tcPr>
            <w:tcW w:w="993" w:type="dxa"/>
            <w:tcBorders>
              <w:top w:val="single" w:sz="6" w:space="0" w:color="auto"/>
              <w:left w:val="single" w:sz="6" w:space="0" w:color="auto"/>
              <w:bottom w:val="single" w:sz="6" w:space="0" w:color="auto"/>
              <w:right w:val="single" w:sz="6" w:space="0" w:color="auto"/>
            </w:tcBorders>
          </w:tcPr>
          <w:p w:rsidR="001C6D8D" w:rsidRPr="001C6D8D" w:rsidRDefault="001C6D8D" w:rsidP="001C6D8D">
            <w:pPr>
              <w:widowControl/>
              <w:autoSpaceDE/>
              <w:autoSpaceDN/>
              <w:adjustRightInd/>
              <w:ind w:firstLine="0"/>
              <w:jc w:val="center"/>
              <w:rPr>
                <w:rFonts w:eastAsia="Arial"/>
                <w:sz w:val="24"/>
                <w:szCs w:val="24"/>
                <w:lang w:eastAsia="en-US"/>
              </w:rPr>
            </w:pPr>
            <w:r w:rsidRPr="001C6D8D">
              <w:rPr>
                <w:rFonts w:eastAsia="Arial"/>
                <w:sz w:val="24"/>
                <w:szCs w:val="24"/>
                <w:lang w:eastAsia="en-US"/>
              </w:rPr>
              <w:t>X</w:t>
            </w:r>
          </w:p>
        </w:tc>
      </w:tr>
      <w:tr w:rsidR="001C6D8D" w:rsidRPr="001C6D8D" w:rsidTr="001C6D8D">
        <w:tc>
          <w:tcPr>
            <w:tcW w:w="9498" w:type="dxa"/>
            <w:gridSpan w:val="6"/>
            <w:tcBorders>
              <w:top w:val="single" w:sz="6" w:space="0" w:color="auto"/>
              <w:left w:val="single" w:sz="6" w:space="0" w:color="auto"/>
              <w:bottom w:val="single" w:sz="6" w:space="0" w:color="auto"/>
              <w:right w:val="single" w:sz="6" w:space="0" w:color="auto"/>
            </w:tcBorders>
          </w:tcPr>
          <w:p w:rsidR="001C6D8D" w:rsidRDefault="001C6D8D" w:rsidP="001C6D8D">
            <w:pPr>
              <w:widowControl/>
              <w:autoSpaceDE/>
              <w:autoSpaceDN/>
              <w:adjustRightInd/>
              <w:ind w:firstLine="527"/>
              <w:rPr>
                <w:rFonts w:eastAsia="Arial"/>
                <w:lang w:val="kk-KZ" w:eastAsia="en-US"/>
              </w:rPr>
            </w:pPr>
            <w:r>
              <w:rPr>
                <w:rFonts w:eastAsia="Arial"/>
                <w:lang w:eastAsia="en-US"/>
              </w:rPr>
              <w:t>Примечани</w:t>
            </w:r>
            <w:r>
              <w:rPr>
                <w:rFonts w:eastAsia="Arial"/>
                <w:lang w:val="kk-KZ" w:eastAsia="en-US"/>
              </w:rPr>
              <w:t>я</w:t>
            </w:r>
          </w:p>
          <w:p w:rsidR="001C6D8D" w:rsidRPr="001C6D8D" w:rsidRDefault="001C6D8D" w:rsidP="001C6D8D">
            <w:pPr>
              <w:widowControl/>
              <w:autoSpaceDE/>
              <w:autoSpaceDN/>
              <w:adjustRightInd/>
              <w:ind w:firstLine="527"/>
              <w:rPr>
                <w:rFonts w:eastAsia="Arial"/>
                <w:lang w:eastAsia="en-US"/>
              </w:rPr>
            </w:pPr>
            <w:r>
              <w:rPr>
                <w:rFonts w:eastAsia="Arial"/>
                <w:lang w:val="kk-KZ" w:eastAsia="en-US"/>
              </w:rPr>
              <w:t xml:space="preserve">1 </w:t>
            </w:r>
            <w:r w:rsidRPr="001C6D8D">
              <w:rPr>
                <w:rFonts w:eastAsia="Arial"/>
                <w:lang w:eastAsia="en-US"/>
              </w:rPr>
              <w:t>Х обозначает вероятную совместимость.</w:t>
            </w:r>
          </w:p>
          <w:p w:rsidR="001C6D8D" w:rsidRPr="001C6D8D" w:rsidRDefault="001C6D8D" w:rsidP="001C6D8D">
            <w:pPr>
              <w:widowControl/>
              <w:autoSpaceDE/>
              <w:autoSpaceDN/>
              <w:adjustRightInd/>
              <w:ind w:firstLine="527"/>
              <w:rPr>
                <w:rFonts w:eastAsia="Arial"/>
                <w:lang w:eastAsia="en-US"/>
              </w:rPr>
            </w:pPr>
            <w:r w:rsidRPr="001C6D8D">
              <w:rPr>
                <w:rFonts w:eastAsia="Arial"/>
                <w:lang w:eastAsia="en-US"/>
              </w:rPr>
              <w:t>2 PVC (ПВХ) - Поливинилхлорид, CPVC (ХПВХ) - хлорированный</w:t>
            </w:r>
            <w:r>
              <w:rPr>
                <w:rFonts w:eastAsia="Arial"/>
                <w:lang w:eastAsia="en-US"/>
              </w:rPr>
              <w:t xml:space="preserve"> поливинилхлорид, PVDF (ПВДФ</w:t>
            </w:r>
            <w:proofErr w:type="gramStart"/>
            <w:r>
              <w:rPr>
                <w:rFonts w:eastAsia="Arial"/>
                <w:lang w:eastAsia="en-US"/>
              </w:rPr>
              <w:t>)</w:t>
            </w:r>
            <w:r>
              <w:rPr>
                <w:rFonts w:eastAsia="Arial"/>
                <w:lang w:val="kk-KZ" w:eastAsia="en-US"/>
              </w:rPr>
              <w:t>-</w:t>
            </w:r>
            <w:proofErr w:type="gramEnd"/>
            <w:r w:rsidRPr="001C6D8D">
              <w:rPr>
                <w:rFonts w:eastAsia="Arial"/>
                <w:lang w:eastAsia="en-US"/>
              </w:rPr>
              <w:t>поливинилиденфторид, РЕХ - сшитый полиэтилен, SS -нержавеющая сталь, РР (ПП) - полипропилен, РЕ (ПЭ) - полиэтилен, ABS (АБС) -акрилонитрипбутадиенстирол, РТРЕ(ПТФЭ)- политетрафторэтилен.</w:t>
            </w:r>
          </w:p>
          <w:p w:rsidR="001C6D8D" w:rsidRPr="001C6D8D" w:rsidRDefault="001C6D8D" w:rsidP="001C6D8D">
            <w:pPr>
              <w:widowControl/>
              <w:autoSpaceDE/>
              <w:autoSpaceDN/>
              <w:adjustRightInd/>
              <w:ind w:firstLine="527"/>
              <w:rPr>
                <w:rFonts w:eastAsia="Arial"/>
                <w:sz w:val="24"/>
                <w:szCs w:val="24"/>
                <w:lang w:eastAsia="en-US"/>
              </w:rPr>
            </w:pPr>
            <w:r w:rsidRPr="001C6D8D">
              <w:rPr>
                <w:rFonts w:eastAsia="Arial"/>
                <w:vertAlign w:val="superscript"/>
                <w:lang w:eastAsia="en-US"/>
              </w:rPr>
              <w:t>а</w:t>
            </w:r>
            <w:r w:rsidRPr="001C6D8D">
              <w:rPr>
                <w:rFonts w:eastAsia="Arial"/>
                <w:lang w:eastAsia="en-US"/>
              </w:rPr>
              <w:t xml:space="preserve"> Озон относится к озону, растворенному в воде, а не к газообразному озону.</w:t>
            </w:r>
          </w:p>
        </w:tc>
      </w:tr>
    </w:tbl>
    <w:p w:rsidR="001C6D8D" w:rsidRPr="001C6D8D" w:rsidRDefault="001C6D8D" w:rsidP="001C6D8D">
      <w:pPr>
        <w:pStyle w:val="Style15"/>
        <w:widowControl/>
        <w:ind w:firstLine="0"/>
        <w:jc w:val="center"/>
        <w:rPr>
          <w:rStyle w:val="FontStyle54"/>
          <w:rFonts w:ascii="Times New Roman" w:hAnsi="Times New Roman" w:cs="Times New Roman"/>
          <w:b/>
          <w:sz w:val="24"/>
          <w:highlight w:val="yellow"/>
          <w:lang w:eastAsia="en-US"/>
        </w:rPr>
      </w:pP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lastRenderedPageBreak/>
        <w:t>Таблица В.1 не предназначена для исчерпывающей компиляции всех возможных совместимых комбинаций материала трубопроводов и дезинфицирующего средства. Соображения совместимости должны включать любые соединительные материалы и фитинги для труб, а также фактический материал трубопровода. Следует также учитывать концентрацию бактерицида и продолжительность, частоту и условия (расход, давление, температура) воздействия.</w:t>
      </w:r>
    </w:p>
    <w:p w:rsid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Пользователи должны проверить совместимость между данным бактерицидом и материалами трубопроводной системы с поставщиком этой трубопроводной системы и/или поставщиком дезинфицирующего средства перед использованием бактерицида.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В.3.4 Устройства бактериального контроля</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В.3.4.1 Общие положения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Традиционно химическая дезинфекция использовалась для предотвращения размножения бактерий в системах хранения и распределения воды для диализа. Одним из следствий повышенного внимания, уделяемого бактериологическому контролю в системе хранения и распределения воды для диализа, является интерес к альтернативам традиционной химической дезинфекции, включая ультрафиолетовые излучатели, генераторы озона и системы дезинфекции горячей воды. Как озон, так и горячая вода могут обеспечить более частую дезинфекцию системы хранения и распределения воды для диализа, поскольку длительная промывка не требуется для удаления остатков дезинфицирующего средства из системы до возобновления диализа. Использование озона или горячей воды возможно только в том случае, если системы построены из соответствующих устойчивых материалов. Это ограничение распространяется не только на трубопроводы и любые резервуары для хранения, которые могут находиться в системе, но и на все насосы, клапаны и другие фитинги, включая любые уплотнительные кольца и уплотнения, которые они могут содержать. Ультрафиолетовое излучение может быть использовано для уничтожения планктонных клеток, но оно не оказывает никакого воздействия на бактерии, находящиеся в биопленке. Для достижения эффективной и профилактической дезинфекции с помощью соответствующей системы пользователь должен обратиться к рекомендациям изготовителя устройства или системы.</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en-US" w:eastAsia="en-US"/>
        </w:rPr>
        <w:t>B</w:t>
      </w:r>
      <w:r w:rsidRPr="00751ED5">
        <w:rPr>
          <w:rStyle w:val="FontStyle54"/>
          <w:rFonts w:ascii="Times New Roman" w:hAnsi="Times New Roman" w:cs="Times New Roman"/>
          <w:b/>
          <w:sz w:val="24"/>
          <w:lang w:val="kk-KZ" w:eastAsia="en-US"/>
        </w:rPr>
        <w:t>.3.4.2 Ультрафиолетовые излучатели</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При использовании для контроля бактериальной пролиферации в системах хранения и распределения воды для диализа устройства УФ-излучения должны быть оснащены ртутной лампой низкого давления, излучающей свет с длиной волны 254 нм и обеспечивающей дозу излучаемой энергии 30 МВтс/см2. Если излучатель включает калиброванный измеритель интенсивности </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УФ-излучения, то минимальная доза излучаемой энергии должна составлять не менее 16 МВт-с/см2. Устройство должно быть рассчитано на максимальный ожидаемый расход в соответствии с инструкциями изготовителя. Рекомендуется, чтобы за УФ-излучателями следовал эндотоксиновый фильтр для удаления пирогенов.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Рекомендации, приведенные в этом пункте, касаются УФ-излучателя, используемого специально для борьбы с бактериями. УФ-излучатели могут также использоваться для других применений в системах очистки и распределения воды.</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УФ-излучение также может быть использовано для борьбы с бактериями в секции предварительной обработки системы очистки воды, такой как следующие углеродные слои, чтобы уменьшить бактериальную нагрузку, представленную блоку обратного осмоса.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xml:space="preserve">УФ-излучатели должны быть оснащены калиброванным измерителем интенсивности УФ-излучения, как описано выше, или онлайн-монитором выхода излучаемой энергии, </w:t>
      </w:r>
      <w:r w:rsidRPr="00751ED5">
        <w:rPr>
          <w:rStyle w:val="FontStyle54"/>
          <w:rFonts w:ascii="Times New Roman" w:hAnsi="Times New Roman" w:cs="Times New Roman"/>
          <w:sz w:val="24"/>
          <w:lang w:val="kk-KZ" w:eastAsia="en-US"/>
        </w:rPr>
        <w:lastRenderedPageBreak/>
        <w:t>который активирует видимый сигнал тревоги, указывающий на то, что лампа должна быть заменена. В качестве альтернативы лампу следует заменять по заранее установленному графику в соответствии с инструкциями изготовителя для поддержания рекомендуемой мощности излучения.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Когда УФ-излучатели погружаются в резервуар для хранения для борьбы с бактериями, они должны быть сконструированы таким образом, чтобы поддерживать необходимую энергию в самом дальнем положении в резервуаре, учитывая ситуацию потока во время работы.</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en-US" w:eastAsia="en-US"/>
        </w:rPr>
        <w:t>B</w:t>
      </w:r>
      <w:r w:rsidRPr="00751ED5">
        <w:rPr>
          <w:rStyle w:val="FontStyle54"/>
          <w:rFonts w:ascii="Times New Roman" w:hAnsi="Times New Roman" w:cs="Times New Roman"/>
          <w:b/>
          <w:sz w:val="24"/>
          <w:lang w:val="kk-KZ" w:eastAsia="en-US"/>
        </w:rPr>
        <w:t>.3.4.3 Системы обеззараживания озоном</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При использовании для контроля бактериальной пролиферации в системах хранения и распределения воды для диализа система дезинфекции озоном должна быть способна доставлять озон в концентрации и в течение времени воздействия, указанного изготовителем. При использовании систем дезинфекции озоном рекомендуется установить в зоне генератора озона монитор озона окружающего воздуха.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Генераторы озона преобразуют кислород в озон с помощью коронного разряда или УФ-излучения. Затем озон впрыскивается в поток воды. Концентрация озона от 0,2 до 0,5 мг/л в сочетании с временем контакта 10 мин, измеренным в конце распределительного контура, способна убивать бактерии, бактериальные споры, вирусы, плесень и дрожжи в воде. Разрушение установленной биопленки может потребовать более длительного времени воздействия и/или более высоких концентраций озона. Озон также может разрушать эндотоксины.</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Озон может разрушать многие пластиковые материалы, включая ПВХ и эластомерные уплотнительные кольца и уплотнения. Поэтому озон может использоваться для борьбы с бактериями только в системах, изготовленных из озоностойких материалов (см. В.3.3).</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В.3.4.4 Системы дезинфекции горячей водой</w:t>
      </w:r>
    </w:p>
    <w:p w:rsidR="00751ED5" w:rsidRDefault="00751ED5" w:rsidP="00751ED5">
      <w:pPr>
        <w:pStyle w:val="Style15"/>
        <w:widowControl/>
        <w:ind w:firstLine="567"/>
        <w:rPr>
          <w:rStyle w:val="FontStyle54"/>
          <w:rFonts w:ascii="Times New Roman" w:hAnsi="Times New Roman" w:cs="Times New Roman"/>
          <w:sz w:val="24"/>
          <w:lang w:val="en-US" w:eastAsia="en-US"/>
        </w:rPr>
      </w:pPr>
      <w:r w:rsidRPr="00751ED5">
        <w:rPr>
          <w:rStyle w:val="FontStyle54"/>
          <w:rFonts w:ascii="Times New Roman" w:hAnsi="Times New Roman" w:cs="Times New Roman"/>
          <w:sz w:val="24"/>
          <w:lang w:val="kk-KZ" w:eastAsia="en-US"/>
        </w:rPr>
        <w:t>Горячая вода может быть использована для контроля размножения бактерий в системах хранения и распределения воды для диализа. Время выдержки должно соответствовать инструкциям изготовителя. Водонагреватель системы дезинфекции горячей водой должен быть способен подавать горячую воду при температуре и времени выдержки, указанных изготовителем, на любой участок системы хранения и распределения воды для диализа. Следует соблюдать инструкции изготовителя по использованию систем дезинфекции горячей водой. Если инструкции изготовителя отсутствуют, эффективность системы может быть продемонстрирована путем проверки того, что система поддерживает заданную температуру во всей системе в течение заданного времени, а также путем проведения постоянного контроля с использованием бактериальных культур и испытания на эндотоксины.</w:t>
      </w:r>
    </w:p>
    <w:p w:rsidR="00751ED5" w:rsidRPr="00751ED5" w:rsidRDefault="00751ED5" w:rsidP="00751ED5">
      <w:pPr>
        <w:pStyle w:val="Style15"/>
        <w:widowControl/>
        <w:ind w:firstLine="567"/>
        <w:rPr>
          <w:rStyle w:val="FontStyle54"/>
          <w:rFonts w:ascii="Times New Roman" w:hAnsi="Times New Roman" w:cs="Times New Roman"/>
          <w:sz w:val="24"/>
          <w:lang w:val="en-US" w:eastAsia="en-US"/>
        </w:rPr>
      </w:pPr>
    </w:p>
    <w:p w:rsidR="00751ED5" w:rsidRPr="00751ED5" w:rsidRDefault="00751ED5" w:rsidP="00751ED5">
      <w:pPr>
        <w:pStyle w:val="Style15"/>
        <w:widowControl/>
        <w:ind w:firstLine="567"/>
        <w:rPr>
          <w:rStyle w:val="FontStyle54"/>
          <w:rFonts w:ascii="Times New Roman" w:hAnsi="Times New Roman" w:cs="Times New Roman"/>
          <w:sz w:val="20"/>
          <w:szCs w:val="20"/>
          <w:lang w:val="kk-KZ" w:eastAsia="en-US"/>
        </w:rPr>
      </w:pPr>
      <w:r w:rsidRPr="00751ED5">
        <w:rPr>
          <w:rStyle w:val="FontStyle54"/>
          <w:rFonts w:ascii="Times New Roman" w:hAnsi="Times New Roman" w:cs="Times New Roman"/>
          <w:sz w:val="20"/>
          <w:szCs w:val="20"/>
          <w:lang w:val="kk-KZ" w:eastAsia="en-US"/>
        </w:rPr>
        <w:t>Примечания</w:t>
      </w:r>
    </w:p>
    <w:p w:rsidR="00751ED5" w:rsidRPr="00751ED5" w:rsidRDefault="00751ED5" w:rsidP="00751ED5">
      <w:pPr>
        <w:pStyle w:val="Style15"/>
        <w:widowControl/>
        <w:ind w:firstLine="567"/>
        <w:rPr>
          <w:rStyle w:val="FontStyle54"/>
          <w:rFonts w:ascii="Times New Roman" w:hAnsi="Times New Roman" w:cs="Times New Roman"/>
          <w:sz w:val="20"/>
          <w:szCs w:val="20"/>
          <w:lang w:val="kk-KZ" w:eastAsia="en-US"/>
        </w:rPr>
      </w:pPr>
      <w:r w:rsidRPr="00751ED5">
        <w:rPr>
          <w:rStyle w:val="FontStyle54"/>
          <w:rFonts w:ascii="Times New Roman" w:hAnsi="Times New Roman" w:cs="Times New Roman"/>
          <w:sz w:val="20"/>
          <w:szCs w:val="20"/>
          <w:lang w:val="kk-KZ" w:eastAsia="en-US"/>
        </w:rPr>
        <w:t>1 Способность горячей воды дезинфицировать распределительную систему зависит от температуры воды и времени воздействия. Например, минимальное время воздействия для одезинфекции горячей водой при температуре 80 °С составляет 10 мин.</w:t>
      </w:r>
    </w:p>
    <w:p w:rsidR="00D07674" w:rsidRDefault="00751ED5" w:rsidP="00751ED5">
      <w:pPr>
        <w:pStyle w:val="Style15"/>
        <w:widowControl/>
        <w:ind w:firstLine="567"/>
        <w:rPr>
          <w:rStyle w:val="FontStyle54"/>
          <w:rFonts w:ascii="Times New Roman" w:hAnsi="Times New Roman" w:cs="Times New Roman"/>
          <w:sz w:val="20"/>
          <w:szCs w:val="20"/>
          <w:lang w:val="kk-KZ" w:eastAsia="en-US"/>
        </w:rPr>
      </w:pPr>
      <w:r w:rsidRPr="00751ED5">
        <w:rPr>
          <w:rStyle w:val="FontStyle54"/>
          <w:rFonts w:ascii="Times New Roman" w:hAnsi="Times New Roman" w:cs="Times New Roman"/>
          <w:sz w:val="20"/>
          <w:szCs w:val="20"/>
          <w:lang w:val="kk-KZ" w:eastAsia="en-US"/>
        </w:rPr>
        <w:t>2 Параметр А0 может быть использован для количественной оценки тепловой дезинфекции в диапазоне от 65 до 100 ⁰С (см. ISO 15883-1:2006 «Машины моющедезинфицирующие. Часть 1. Общие требования, термины, определения и испытания»). Температура и время могут быть объединены, чтобы получить число, представляющее дозу, способную достичь требуемого снижения жизнеспособных организмов.</w:t>
      </w:r>
    </w:p>
    <w:p w:rsidR="00751ED5" w:rsidRDefault="00751ED5" w:rsidP="00751ED5">
      <w:pPr>
        <w:pStyle w:val="Style15"/>
        <w:widowControl/>
        <w:ind w:firstLine="567"/>
        <w:rPr>
          <w:rStyle w:val="FontStyle54"/>
          <w:rFonts w:ascii="Times New Roman" w:hAnsi="Times New Roman" w:cs="Times New Roman"/>
          <w:sz w:val="20"/>
          <w:szCs w:val="20"/>
          <w:lang w:val="kk-KZ" w:eastAsia="en-US"/>
        </w:rPr>
      </w:pPr>
    </w:p>
    <w:p w:rsidR="00751ED5" w:rsidRPr="00751ED5" w:rsidRDefault="00751ED5" w:rsidP="00751ED5">
      <w:pPr>
        <w:pStyle w:val="Style15"/>
        <w:widowControl/>
        <w:ind w:firstLine="0"/>
        <w:rPr>
          <w:rStyle w:val="FontStyle54"/>
          <w:rFonts w:ascii="Times New Roman" w:hAnsi="Times New Roman" w:cs="Times New Roman"/>
          <w:sz w:val="20"/>
          <w:szCs w:val="20"/>
          <w:highlight w:val="yellow"/>
          <w:lang w:val="kk-KZ" w:eastAsia="en-US"/>
        </w:rPr>
      </w:pPr>
      <m:oMathPara>
        <m:oMath>
          <m:sSub>
            <m:sSubPr>
              <m:ctrlPr>
                <w:rPr>
                  <w:rStyle w:val="FontStyle54"/>
                  <w:rFonts w:ascii="Cambria Math" w:hAnsi="Cambria Math" w:cs="Times New Roman"/>
                  <w:i/>
                  <w:sz w:val="20"/>
                  <w:szCs w:val="20"/>
                  <w:lang w:val="kk-KZ" w:eastAsia="en-US"/>
                </w:rPr>
              </m:ctrlPr>
            </m:sSubPr>
            <m:e>
              <m:r>
                <w:rPr>
                  <w:rStyle w:val="FontStyle54"/>
                  <w:rFonts w:ascii="Cambria Math" w:hAnsi="Cambria Math" w:cs="Times New Roman"/>
                  <w:sz w:val="20"/>
                  <w:szCs w:val="20"/>
                  <w:lang w:val="en-US" w:eastAsia="en-US"/>
                </w:rPr>
                <m:t>A</m:t>
              </m:r>
            </m:e>
            <m:sub>
              <m:r>
                <w:rPr>
                  <w:rStyle w:val="FontStyle54"/>
                  <w:rFonts w:ascii="Cambria Math" w:hAnsi="Cambria Math" w:cs="Times New Roman"/>
                  <w:sz w:val="20"/>
                  <w:szCs w:val="20"/>
                  <w:lang w:val="kk-KZ" w:eastAsia="en-US"/>
                </w:rPr>
                <m:t>0</m:t>
              </m:r>
            </m:sub>
          </m:sSub>
          <m:r>
            <w:rPr>
              <w:rStyle w:val="FontStyle54"/>
              <w:rFonts w:ascii="Cambria Math" w:hAnsi="Cambria Math" w:cs="Times New Roman"/>
              <w:sz w:val="20"/>
              <w:szCs w:val="20"/>
              <w:lang w:val="kk-KZ" w:eastAsia="en-US"/>
            </w:rPr>
            <m:t>=</m:t>
          </m:r>
          <m:nary>
            <m:naryPr>
              <m:chr m:val="∑"/>
              <m:limLoc m:val="undOvr"/>
              <m:subHide m:val="1"/>
              <m:supHide m:val="1"/>
              <m:ctrlPr>
                <w:rPr>
                  <w:rStyle w:val="FontStyle54"/>
                  <w:rFonts w:ascii="Cambria Math" w:hAnsi="Cambria Math" w:cs="Times New Roman"/>
                  <w:i/>
                  <w:sz w:val="20"/>
                  <w:szCs w:val="20"/>
                  <w:lang w:val="kk-KZ" w:eastAsia="en-US"/>
                </w:rPr>
              </m:ctrlPr>
            </m:naryPr>
            <m:sub/>
            <m:sup/>
            <m:e>
              <m:sSup>
                <m:sSupPr>
                  <m:ctrlPr>
                    <w:rPr>
                      <w:rStyle w:val="FontStyle54"/>
                      <w:rFonts w:ascii="Cambria Math" w:hAnsi="Cambria Math" w:cs="Times New Roman"/>
                      <w:i/>
                      <w:sz w:val="20"/>
                      <w:szCs w:val="20"/>
                      <w:lang w:val="kk-KZ" w:eastAsia="en-US"/>
                    </w:rPr>
                  </m:ctrlPr>
                </m:sSupPr>
                <m:e>
                  <m:r>
                    <w:rPr>
                      <w:rStyle w:val="FontStyle54"/>
                      <w:rFonts w:ascii="Cambria Math" w:hAnsi="Cambria Math" w:cs="Times New Roman"/>
                      <w:sz w:val="20"/>
                      <w:szCs w:val="20"/>
                      <w:lang w:val="kk-KZ" w:eastAsia="en-US"/>
                    </w:rPr>
                    <m:t>10</m:t>
                  </m:r>
                </m:e>
                <m:sup>
                  <m:r>
                    <w:rPr>
                      <w:rStyle w:val="FontStyle54"/>
                      <w:rFonts w:ascii="Cambria Math" w:hAnsi="Cambria Math" w:cs="Times New Roman"/>
                      <w:sz w:val="20"/>
                      <w:szCs w:val="20"/>
                      <w:lang w:val="kk-KZ" w:eastAsia="en-US"/>
                    </w:rPr>
                    <m:t>(T-80/z)∙∆t</m:t>
                  </m:r>
                </m:sup>
              </m:sSup>
            </m:e>
          </m:nary>
        </m:oMath>
      </m:oMathPara>
    </w:p>
    <w:p w:rsidR="00751ED5" w:rsidRPr="00751ED5" w:rsidRDefault="00751ED5" w:rsidP="00751ED5">
      <w:pPr>
        <w:pStyle w:val="Style15"/>
        <w:widowControl/>
        <w:ind w:firstLine="567"/>
        <w:rPr>
          <w:rStyle w:val="FontStyle54"/>
          <w:rFonts w:ascii="Times New Roman" w:hAnsi="Times New Roman" w:cs="Times New Roman"/>
          <w:sz w:val="20"/>
          <w:szCs w:val="20"/>
          <w:lang w:val="kk-KZ" w:eastAsia="en-US"/>
        </w:rPr>
      </w:pPr>
      <w:r w:rsidRPr="00751ED5">
        <w:rPr>
          <w:rStyle w:val="FontStyle54"/>
          <w:rFonts w:ascii="Times New Roman" w:hAnsi="Times New Roman" w:cs="Times New Roman"/>
          <w:sz w:val="20"/>
          <w:szCs w:val="20"/>
          <w:lang w:val="kk-KZ" w:eastAsia="en-US"/>
        </w:rPr>
        <w:t>где Т</w:t>
      </w:r>
      <w:r>
        <w:rPr>
          <w:rStyle w:val="FontStyle54"/>
          <w:rFonts w:ascii="Times New Roman" w:hAnsi="Times New Roman" w:cs="Times New Roman"/>
          <w:sz w:val="20"/>
          <w:szCs w:val="20"/>
          <w:lang w:val="kk-KZ" w:eastAsia="en-US"/>
        </w:rPr>
        <w:t xml:space="preserve"> –</w:t>
      </w:r>
      <w:r w:rsidRPr="00751ED5">
        <w:rPr>
          <w:rStyle w:val="FontStyle54"/>
          <w:rFonts w:ascii="Times New Roman" w:hAnsi="Times New Roman" w:cs="Times New Roman"/>
          <w:sz w:val="20"/>
          <w:szCs w:val="20"/>
          <w:lang w:val="kk-KZ" w:eastAsia="en-US"/>
        </w:rPr>
        <w:t xml:space="preserve"> температура, °С; </w:t>
      </w:r>
    </w:p>
    <w:p w:rsidR="00751ED5" w:rsidRPr="00751ED5" w:rsidRDefault="00751ED5" w:rsidP="00751ED5">
      <w:pPr>
        <w:pStyle w:val="Style15"/>
        <w:widowControl/>
        <w:ind w:firstLine="567"/>
        <w:rPr>
          <w:rStyle w:val="FontStyle54"/>
          <w:rFonts w:ascii="Times New Roman" w:hAnsi="Times New Roman" w:cs="Times New Roman"/>
          <w:sz w:val="20"/>
          <w:szCs w:val="20"/>
          <w:lang w:val="kk-KZ" w:eastAsia="en-US"/>
        </w:rPr>
      </w:pPr>
      <w:r w:rsidRPr="00751ED5">
        <w:rPr>
          <w:rStyle w:val="FontStyle54"/>
          <w:rFonts w:ascii="Times New Roman" w:hAnsi="Times New Roman" w:cs="Times New Roman"/>
          <w:sz w:val="20"/>
          <w:szCs w:val="20"/>
          <w:lang w:val="kk-KZ" w:eastAsia="en-US"/>
        </w:rPr>
        <w:t>z — равно 10 °С;</w:t>
      </w:r>
    </w:p>
    <w:p w:rsidR="00D07674" w:rsidRPr="00751ED5" w:rsidRDefault="00751ED5" w:rsidP="00751ED5">
      <w:pPr>
        <w:pStyle w:val="Style15"/>
        <w:widowControl/>
        <w:ind w:firstLine="567"/>
        <w:rPr>
          <w:rStyle w:val="FontStyle54"/>
          <w:rFonts w:ascii="Times New Roman" w:hAnsi="Times New Roman" w:cs="Times New Roman"/>
          <w:sz w:val="20"/>
          <w:szCs w:val="20"/>
          <w:lang w:val="kk-KZ" w:eastAsia="en-US"/>
        </w:rPr>
      </w:pPr>
      <w:r w:rsidRPr="00751ED5">
        <w:rPr>
          <w:rStyle w:val="FontStyle54"/>
          <w:rFonts w:ascii="Times New Roman" w:hAnsi="Times New Roman" w:cs="Times New Roman"/>
          <w:sz w:val="20"/>
          <w:szCs w:val="20"/>
          <w:lang w:val="kk-KZ" w:eastAsia="en-US"/>
        </w:rPr>
        <w:lastRenderedPageBreak/>
        <w:t>A</w:t>
      </w:r>
      <w:r w:rsidRPr="00751ED5">
        <w:rPr>
          <w:rStyle w:val="FontStyle54"/>
          <w:rFonts w:ascii="Times New Roman" w:hAnsi="Times New Roman" w:cs="Times New Roman"/>
          <w:i/>
          <w:sz w:val="20"/>
          <w:szCs w:val="20"/>
          <w:lang w:val="kk-KZ" w:eastAsia="en-US"/>
        </w:rPr>
        <w:t>t</w:t>
      </w:r>
      <w:r>
        <w:rPr>
          <w:rStyle w:val="FontStyle54"/>
          <w:rFonts w:ascii="Times New Roman" w:hAnsi="Times New Roman" w:cs="Times New Roman"/>
          <w:sz w:val="20"/>
          <w:szCs w:val="20"/>
          <w:lang w:val="kk-KZ" w:eastAsia="en-US"/>
        </w:rPr>
        <w:t xml:space="preserve"> –</w:t>
      </w:r>
      <w:r w:rsidRPr="00751ED5">
        <w:rPr>
          <w:rStyle w:val="FontStyle54"/>
          <w:rFonts w:ascii="Times New Roman" w:hAnsi="Times New Roman" w:cs="Times New Roman"/>
          <w:sz w:val="20"/>
          <w:szCs w:val="20"/>
          <w:lang w:val="kk-KZ" w:eastAsia="en-US"/>
        </w:rPr>
        <w:t xml:space="preserve"> выбранный период времени, с.</w:t>
      </w:r>
    </w:p>
    <w:p w:rsidR="00D07674" w:rsidRDefault="00D07674" w:rsidP="00751ED5">
      <w:pPr>
        <w:pStyle w:val="Style15"/>
        <w:widowControl/>
        <w:ind w:firstLine="0"/>
        <w:rPr>
          <w:rStyle w:val="FontStyle54"/>
          <w:rFonts w:ascii="Times New Roman" w:hAnsi="Times New Roman" w:cs="Times New Roman"/>
          <w:b/>
          <w:sz w:val="24"/>
          <w:highlight w:val="yellow"/>
          <w:lang w:val="kk-KZ" w:eastAsia="en-US"/>
        </w:rPr>
      </w:pP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Значение А</w:t>
      </w:r>
      <w:r w:rsidRPr="00751ED5">
        <w:rPr>
          <w:rStyle w:val="FontStyle54"/>
          <w:rFonts w:ascii="Times New Roman" w:hAnsi="Times New Roman" w:cs="Times New Roman"/>
          <w:sz w:val="24"/>
          <w:vertAlign w:val="subscript"/>
          <w:lang w:val="kk-KZ" w:eastAsia="en-US"/>
        </w:rPr>
        <w:t>о</w:t>
      </w:r>
      <w:r w:rsidRPr="00751ED5">
        <w:rPr>
          <w:rStyle w:val="FontStyle54"/>
          <w:rFonts w:ascii="Times New Roman" w:hAnsi="Times New Roman" w:cs="Times New Roman"/>
          <w:sz w:val="24"/>
          <w:lang w:val="kk-KZ" w:eastAsia="en-US"/>
        </w:rPr>
        <w:t>, равное 1, определяется как воздействие 80 °С в течение 1 с. Таким образом, А</w:t>
      </w:r>
      <w:r w:rsidRPr="00751ED5">
        <w:rPr>
          <w:rStyle w:val="FontStyle54"/>
          <w:rFonts w:ascii="Times New Roman" w:hAnsi="Times New Roman" w:cs="Times New Roman"/>
          <w:sz w:val="24"/>
          <w:vertAlign w:val="subscript"/>
          <w:lang w:val="kk-KZ" w:eastAsia="en-US"/>
        </w:rPr>
        <w:t>о</w:t>
      </w:r>
      <w:r w:rsidRPr="00751ED5">
        <w:rPr>
          <w:rStyle w:val="FontStyle54"/>
          <w:rFonts w:ascii="Times New Roman" w:hAnsi="Times New Roman" w:cs="Times New Roman"/>
          <w:sz w:val="24"/>
          <w:lang w:val="kk-KZ" w:eastAsia="en-US"/>
        </w:rPr>
        <w:t xml:space="preserve"> = 600 представляет собой 10 мин при 80 °С, 1 мин при 90 °С или 100 мин при 70</w:t>
      </w:r>
      <w:r>
        <w:rPr>
          <w:rStyle w:val="FontStyle54"/>
          <w:rFonts w:ascii="Times New Roman" w:hAnsi="Times New Roman" w:cs="Times New Roman"/>
          <w:sz w:val="24"/>
          <w:lang w:val="kk-KZ" w:eastAsia="en-US"/>
        </w:rPr>
        <w:t xml:space="preserve"> </w:t>
      </w:r>
      <w:r w:rsidRPr="00751ED5">
        <w:rPr>
          <w:rStyle w:val="FontStyle54"/>
          <w:rFonts w:ascii="Times New Roman" w:hAnsi="Times New Roman" w:cs="Times New Roman"/>
          <w:sz w:val="24"/>
          <w:lang w:val="kk-KZ" w:eastAsia="en-US"/>
        </w:rPr>
        <w:t>⁰С.</w:t>
      </w:r>
    </w:p>
    <w:p w:rsid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Системы дезинфекции горячей водой могут использоваться только в системах, изготовленных из термостойких материалов, таких как PVDF (поливинилиденфторид), РЕХ (сшитый полиэтилен), SS (нержавеющая сталь), РР (полипропилен) и PTFE (политетрафторэтилен) (см. В.3.3).</w:t>
      </w:r>
    </w:p>
    <w:p w:rsidR="00751ED5" w:rsidRDefault="00751ED5" w:rsidP="00751ED5">
      <w:pPr>
        <w:pStyle w:val="Style15"/>
        <w:widowControl/>
        <w:ind w:firstLine="567"/>
        <w:rPr>
          <w:rStyle w:val="FontStyle54"/>
          <w:rFonts w:ascii="Times New Roman" w:hAnsi="Times New Roman" w:cs="Times New Roman"/>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 Приготовление концентрата</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В.4.1 Общие положения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Диализирующий раствор обычно готовят из двух концентратов: бикарбонатного концентрата, содержащего бикарбонат натрия (а иногда и дополнительный хлорид натрия), и кислотного концентрата, содержащего все оставшиеся ионы, уксусную кислоту или лимонную кислоту, а иногда и глюкозу. Были также разработаны некоторые системы, которые готовят кислотный концентрат из отдельных компонентов, таких как картридж с хлоридом натрия и концентрированный раствор оставшихся незначительных электролитов.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Кислотный концентрат может поставляться изготовителем крупной тарой или в одноразовых контейнерах. В некоторых случаях изготовитель будет перекачивать кислотный концентрат из контейнеров для сыпучих грузов в резервуар для хранения на диализном объекте. Недавно были внедрены системы, позволяющие пользователю диализного центра готовить кислотный концентрат из упакованного порошка и диализной воды с помощью смесителя. Если кислотный концентрат перекачивается в резервуар для хранения сыпучих материалов в диализном центре, пользователь несет ответственность за поддержание концентрата в его первоначальном состоянии и за то, чтобы правильная формула использовалась в соответствии с рецептом пациента. Кислотный концентрат, приготовленный на установке диализа из порошка и диализной воды, также является обязанностью пользователя.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Бикарбонатный концентрат может поставляться изготовителем одним из следующих трех способов: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a) в порошковых картриджах, которые используются для приготовления концентрата онлайн во время диализа;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b) в виде упакованного порошка, который смешивается с диализной водой на диализном объекте;</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c) в одноразовых емкостях жидкого концентрата.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xml:space="preserve">Диализная жидкость также может быть приготовлена из одного концентрата, содержащего ацетат, который метаболизируется пациентом с образованием бикарбоната. Ацетатная диализная жидкость редко используется в рутинной клинической практике. В целом, концентрат на основе ацетата обрабатывается аналогично кислотному концентрату, за исключением того, что в системах концентрата на основе ацетата используется только один концентрат, который смешивается с диализной водой. Этикетки концентрата на ацетатной основе имеют белую цветовую маркировку. </w:t>
      </w:r>
    </w:p>
    <w:p w:rsidR="00751ED5" w:rsidRDefault="00751ED5" w:rsidP="00751ED5">
      <w:pPr>
        <w:pStyle w:val="Style15"/>
        <w:widowControl/>
        <w:ind w:firstLine="567"/>
        <w:rPr>
          <w:rStyle w:val="FontStyle54"/>
          <w:rFonts w:ascii="Times New Roman" w:hAnsi="Times New Roman" w:cs="Times New Roman"/>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В.4.2 Совместимость материалов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xml:space="preserve">Все компоненты, используемые в системах подготовки концентрата (включая смесительные и накопительные баки, насосы, клапаны и трубопроводы), должны быть изготовлены из материалов (например, пластмасс или соответствующей нержавеющей </w:t>
      </w:r>
      <w:r w:rsidRPr="00751ED5">
        <w:rPr>
          <w:rStyle w:val="FontStyle54"/>
          <w:rFonts w:ascii="Times New Roman" w:hAnsi="Times New Roman" w:cs="Times New Roman"/>
          <w:sz w:val="24"/>
          <w:lang w:val="kk-KZ" w:eastAsia="en-US"/>
        </w:rPr>
        <w:lastRenderedPageBreak/>
        <w:t>стали), которые не взаимодействуют химически или физически с концентратом, чтобы повлиять на его чистоту, или с бактерицидами или бактерицидными процедурами, используемыми для дезинфекции оборудования. Использование материалов, которые, как известно, вызывают токсичность при гемодиализе, таких как медь, латунь, цинк, оцинкованный материал, свинец и алюминий, специально запрещено. </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В.4.З Маркировка</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В.4.3.1 Общие положения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Способы маркировки должны позволять любому лицу, использующему содержимое резервуаров для смешивания концентрата, резервуаров для хранения/дозирования сыпучих материалов и небольших контейнеров, предназначенных для использования с одним гемодиализным аппаратом, проводить положительную идентификацию. Требования к такой положительной идентификации будут варьироваться в зависимости от различных установок, в зависимости от различий между используемыми составами концентратов и от того, используются ли однократные или многократные пропорции диализной жидкости. Использование нескольких пропорций диализной жидкости в одном учреждении категорически не рекомендуется.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В дополнение к маркировке контейнеров, описанной ниже, следует вести постоянный учет всех партий концентрата, произведенного на диализном предприятии. Эти записи должны включать полученную формулу концентрата, объем партии, номера партий упаковок порошкообразного концентрата, изготовителя порошкообразного концентрата, дату и время смешивания, любые результаты испытаний, лицо, осуществляющее смешивание, лицо, проверяющее смешивание и результаты испытаний, а также дату истечения срока годности, если это применимо.</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Хотя предприятия несут ответственность за разработку и использование маркировки для позитивной идентификации содержимого смесительных резервуаров, резервуаров для хранения/дозирования сыпучих материалов и контейнеров для концентрата, предлагаются руководящие принципы, изложенные в следующих подразделах.</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В.4.3.2 Смесительные баки</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Перед приготовлением шихты на смесительный бак следует наклеить этикетку, содержащую дату приготовления и химический состав или рецептуру готовящегося концентрата. Эта маркировка должна оставаться на смесительном баке до тех пор, пока бак не будет опорожнен. Использование фотокопии этикетки на упаковке изготовителя концентрата обеспечивает удобное и всестороннее средство идентификации химического состава или рецептуры концентрата; однако номер партии и срок годности должны быть отмечены, поскольку они применяются только к сухому порошку.</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В.4.3.3 Накопители для хранения/дозирования сыпучих материалов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Эти емкости должны быть постоянно маркированы для определения химического состава или рецептуры их содержимого. Как и в случае смесительных резервуаров, маркировка резервуаров для хранения сыпучих материалов/дозирования может быть удобно выполнена путем прикрепления копии этикетки упаковки изготовителя концентрата.</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В.4.3.4 Контейнеры для концентрата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Контейнеры для концентрата могут быть одноразовыми сосудами, предоставляемыми изготовителями аппаратов для гемодиализа и имеющими емкость, достаточную для одного или двух сеансов гемодиализа. Степень маркировки этих контейнеров зависит от разнообразия используемых рецептур концентратов и от того, использует ли предприятие диализные аппараты с различными пропорциями дозирования; последняя практика категорически не поощряется.</w:t>
      </w:r>
    </w:p>
    <w:p w:rsid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lastRenderedPageBreak/>
        <w:t>Как минимум, контейнеры с концентратом должны быть маркированы достаточной информацией, чтобы отличать их содержимое от других составов концентрата, используемых на предприятии. Если в отдельный контейнер добавляется химический шип для увеличения концентрации электролита, на этикетке должен быть указан добавленный электролит, дата и время добавления, а также имя лица, производящего добавление (см. В.4.5). Дополнительная информация может быть простой или обширной, но во всех случаях она должна позволять пользователям однозначно идентифицировать содержимое контейнера.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p>
    <w:p w:rsid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В.4.4 Системы смешивания концентратов</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В.4.4.1 Общие положения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Системы смешивания концентратов требуют наличия источника воды для диализа, подходящего дренажа и электрической розетки с защитой от замыкания на землю. Для обеспечения безопасной рабочей среды следует применять защитные меры. Например, вентиляция и средства индивидуальной защиты должны использоваться для обработки любой остаточной пыли, которая вводится в атмосферу по мере добавления порошкообразных концентратов в систему, а также для обработки любого дополнительного тепла, производимого устройством. Если системы будут устанавливаться выше уровня земли, то следует решить структурные проблемы, такие как несущая способность объекта. Операторы должны всегда использовать соответствующие средства индивидуальной защиты, такие как лицевые щитки, маски, перчатки, халаты и защитные средства для обуви, как это рекомендовано изготовителем.</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Если используется система смешивания концентрата, то готовящий должен следовать инструкциям изготовителя по смешиванию порошка с правильным количеством воды для диализа. Количество мешков или вес добавленного порошка должны быть определены и записаны.</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Рекомендации изготовителя должны соблюдаться в отношении любых процедур профилактического обслуживания и дезинфекции. Следует вести записи с указанием даты, времени, лица, выполняющего процедуру, и результатов (если применимо).</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В.4.4.2 Системы смешивания кислотных концентратов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Емкости для смешивания кислотных концентратов должны быть сконструированы таким образом, чтобы при изменении формулы концентрата внутренняя часть резервуара полностью опорожнялась и промывалась в соответствии с инструкциями изготовителя. Использование резервуара с наклонным дном, который сливается из самой нижней точки, является одним из средств облегчения этого процесса. Поскольку концентратные растворы обладают высокой коррозионной активностью, системы смешивания должны проектироваться и обслуживаться для предотвращения коррозии. Емкости для смешивания кислотных концентратов должны быть полностью опорожнены и промыты диализной водой перед смешиванием другой партии концентрата. Если другая партия концентрата не должна быть быстро смешана, смесительный бак должен быть снова промыт водой для диализа перед смешиванием следующей партии.</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В.4.4.3 Системы смешивания бикарбонатного концентрата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xml:space="preserve">Емкости для смешивания бикарбонатного концентрата должны быть сконструированы таким образом, чтобы полностью сливать воду; например, они должны иметь наклонное дно и слив в самой нижней точке. Сигнализация высокого и низкого уровня может предотвратить переполнение и повреждение насоса воздухом. Поскольку концентратные растворы обладают высокой коррозионной активностью, системы смешивания должны проектироваться и обслуживаться для предотвращения коррозии. Смесительные баки должны иметь плотно прилегающую крышку и должны быть </w:t>
      </w:r>
      <w:r w:rsidRPr="00751ED5">
        <w:rPr>
          <w:rStyle w:val="FontStyle54"/>
          <w:rFonts w:ascii="Times New Roman" w:hAnsi="Times New Roman" w:cs="Times New Roman"/>
          <w:sz w:val="24"/>
          <w:lang w:val="kk-KZ" w:eastAsia="en-US"/>
        </w:rPr>
        <w:lastRenderedPageBreak/>
        <w:t>сконструированы таким образом, чтобы все внутренние поверхности можно было дезинфицировать и промывать. Полупрозрачный резервуар позволяет пользователям видеть уровень жидкости; использование смотровых трубок не рекомендуется из-за потенциального роста микробов, таких как бактерии, водоросли и грибы.</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После смешивания бикарбонатный концентрат следует использовать в течение времени, указанного изготовителем концентрата. Следует показать, что концентрат регулярно производит диализную жидкость, соответствующую рекомендациям 4.4.2. Следует избегать чрезмерного перемешивания или чрезмерного перемешивания бикарбонатного концентрата, так как это может привести к потере СО</w:t>
      </w:r>
      <w:r w:rsidRPr="00751ED5">
        <w:rPr>
          <w:rStyle w:val="FontStyle54"/>
          <w:rFonts w:ascii="Times New Roman" w:hAnsi="Times New Roman" w:cs="Times New Roman"/>
          <w:sz w:val="24"/>
          <w:vertAlign w:val="subscript"/>
          <w:lang w:val="kk-KZ" w:eastAsia="en-US"/>
        </w:rPr>
        <w:t>2</w:t>
      </w:r>
      <w:r w:rsidRPr="00751ED5">
        <w:rPr>
          <w:rStyle w:val="FontStyle54"/>
          <w:rFonts w:ascii="Times New Roman" w:hAnsi="Times New Roman" w:cs="Times New Roman"/>
          <w:sz w:val="24"/>
          <w:lang w:val="kk-KZ" w:eastAsia="en-US"/>
        </w:rPr>
        <w:t xml:space="preserve"> и повышению рН. (системы, предназначенные для смешивания сухих кислотных концентратов, могут использовать методы, которые слишком энергичны для растворения сухого бикарбоната.)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Смесительные баки должны быть либо</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полностью опорожнены и продезинфицированы в соответствии с инструкциями изготовителя;</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дезинфицируется с использованием процедуры, продемонстрированной предприятием как эффективная при регулярном производстве диализирующего раствора, что позволяет выполнять рекомендации 4.4.2.</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В.4.5 Добавки</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Изготовители выпускают кислотные концентраты с широким спектром составов электролитов для различных пропорций дозирования. Большинство типичных рецептов диализирующего раствора можно получить, используя один или несколько из этих коммерчески доступных концентратов. Если конкретные рецептуры отсутствуют, изготовители предоставляют добавки, которые могут быть использованы для регулирования уровня калия или кальция в диализирующем растворе. Эти добавки обычно называют «присадками».</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Примечание - Использование добавок не одобрено в некоторых странах.</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Концентратные добавки следует смешивать с жидкими кислотными концентратами в соответствии с инструкциями изготовителя, заботясь о том, чтобы добавка была составлена для использования в концентратах с соответствующим соотношением разбавления.  </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При использовании жидких добавок объем, вносимый добавкой, следует учитывать при расчете влияния разбавления на концентрацию других компонентов в полученном концентрате. При использовании порошковых добавок следует позаботиться о том, чтобы добавка была полностью растворена и смешана перед использованием концентрата.</w:t>
      </w:r>
    </w:p>
    <w:p w:rsidR="00751ED5" w:rsidRDefault="00751ED5" w:rsidP="00751ED5">
      <w:pPr>
        <w:pStyle w:val="Style15"/>
        <w:widowControl/>
        <w:ind w:firstLine="567"/>
        <w:rPr>
          <w:rStyle w:val="FontStyle54"/>
          <w:rFonts w:ascii="Times New Roman" w:hAnsi="Times New Roman" w:cs="Times New Roman"/>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В.5 Хранение и распределение концентрата</w:t>
      </w:r>
    </w:p>
    <w:p w:rsidR="00751ED5" w:rsidRDefault="00751ED5" w:rsidP="00751ED5">
      <w:pPr>
        <w:pStyle w:val="Style15"/>
        <w:widowControl/>
        <w:ind w:firstLine="567"/>
        <w:rPr>
          <w:rStyle w:val="FontStyle54"/>
          <w:rFonts w:ascii="Times New Roman" w:hAnsi="Times New Roman" w:cs="Times New Roman"/>
          <w:b/>
          <w:sz w:val="24"/>
          <w:lang w:val="kk-KZ" w:eastAsia="en-US"/>
        </w:rPr>
      </w:pP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В.5.1 Совместимость материалов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Все компоненты, используемые в системах распределения концентрата (включая контейнеры для концентрата, резервуары для хранения и трубопроводы), которые контактируют с жидкостью, должны быть изготовлены из нереактивных материалов (например, пластмасс или соответствующей нержавеющей стали), которые не взаимодействуют химически или физически с концентратом, чтобы повлиять на его чистоту. Использование материалов, которые, как известно, вызывают токсичность при гемодиализе, таких как медь, латунь, цинк, оцинкованный материал, свинец и алюминий, специально запрещено.</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В.5.2 Накопитель для хранения (кислотосодержащий концентрат)</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xml:space="preserve">Должны быть предусмотрены процедуры контроля за перемещением кислотного концентрата из контейнера для доставки в резервуар для хранения, чтобы предотвратить непреднамеренное смешивание различных составов концентрата. Если это возможно, </w:t>
      </w:r>
      <w:r w:rsidRPr="00751ED5">
        <w:rPr>
          <w:rStyle w:val="FontStyle54"/>
          <w:rFonts w:ascii="Times New Roman" w:hAnsi="Times New Roman" w:cs="Times New Roman"/>
          <w:sz w:val="24"/>
          <w:lang w:val="kk-KZ" w:eastAsia="en-US"/>
        </w:rPr>
        <w:lastRenderedPageBreak/>
        <w:t>резервуар и связанный с ним водопровод должны образовывать единую систему для предотвращения загрязнения кислотного концентрата. Резервуары для хранения и впускные и выпускные патрубки, если они удалены от резервуара, должны быть надежно закреплены и четко маркированы.</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В.5.3 Распределительные системы</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Концентрат может быть распределен из центрального пункта подготовки с использованием многоразовых контейнеров для концентрата, содержащих достаточное количество концентрата для одной-двух обработок, или он может быть распределен через трубопроводную систему, обеспечивающую соединения концентрата на каждой станции обработки. Можно также использовать комбинацию этих двух систем, причем некоторые концентраты распределяются по контейнерам для концентратов, а другие - по трубопроводам. Две распространенные конфигурации, используемые для распределения концентрата по трубопроводной системе, - это гравитационная подача и давление. Системы гравитационной подачи требуют повышенного бака; системы под давлением доставляют концентрат с помощью насоса и двигателя и не требуют повышенного бака. Максимально допустимое давление подачи концентрата определяется изготовителем машины подачи диализной жидкости и не должно быть превышено.</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Надземные резервуары обычно меньше, чем те, которые используются для приготовления концентратов. Приподнятые резервуары для распределения бикарбонатного концентрата должны быть оборудованы коническими или чашеобразными днищами, плотно прилегающими крышками, распылительным механизмом и сигнализацией высокого и низкого уровня. Любые вентиляционные отверстия должны 0,45 мкм гидрофобный вентиляционный фильтр.</w:t>
      </w:r>
    </w:p>
    <w:p w:rsidR="00751ED5" w:rsidRPr="00751ED5" w:rsidRDefault="00751ED5" w:rsidP="00751ED5">
      <w:pPr>
        <w:pStyle w:val="Style15"/>
        <w:widowControl/>
        <w:ind w:firstLine="567"/>
        <w:rPr>
          <w:rStyle w:val="FontStyle54"/>
          <w:rFonts w:ascii="Times New Roman" w:hAnsi="Times New Roman" w:cs="Times New Roman"/>
          <w:b/>
          <w:sz w:val="24"/>
          <w:lang w:val="kk-KZ" w:eastAsia="en-US"/>
        </w:rPr>
      </w:pPr>
      <w:r w:rsidRPr="00751ED5">
        <w:rPr>
          <w:rStyle w:val="FontStyle54"/>
          <w:rFonts w:ascii="Times New Roman" w:hAnsi="Times New Roman" w:cs="Times New Roman"/>
          <w:b/>
          <w:sz w:val="24"/>
          <w:lang w:val="kk-KZ" w:eastAsia="en-US"/>
        </w:rPr>
        <w:t>В.5.3.1 Системы распределения кислотосодержащий концентратов</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Трубопровод подачи кислотного концентрата должен быть маркирован и окрашен в красный цвет в месте использования (на заправочной станции контейнера или в месте подключения диализного аппарата). Может быть поставлено более одного типа кислотного концентрата, и каждая строка должна четко указывать тип содержащегося в ней кислотного концентрата. Несмотря на то, что нет опубликованных сообщений о кислотном концентрате, поддерживающем рост бактерий, следует приложить все усилия, чтобы держать систему закрытой, чтобы предотвратить загрязнение и испарение. Если кислотная система остается неповрежденной, промывка или дезинфекция не требуются.</w:t>
      </w:r>
    </w:p>
    <w:p w:rsidR="00751ED5" w:rsidRPr="00E7633B" w:rsidRDefault="00E7633B" w:rsidP="00751ED5">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w:t>
      </w:r>
      <w:r w:rsidR="00751ED5" w:rsidRPr="00E7633B">
        <w:rPr>
          <w:rStyle w:val="FontStyle54"/>
          <w:rFonts w:ascii="Times New Roman" w:hAnsi="Times New Roman" w:cs="Times New Roman"/>
          <w:b/>
          <w:sz w:val="24"/>
          <w:lang w:val="kk-KZ" w:eastAsia="en-US"/>
        </w:rPr>
        <w:t>.5.3.2 Системы распределения бикарбонатного концентрата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Трубопровод подачи бикарбонатного концентрата должен иметь синюю цветовую маркировку в месте использования (на заправочной станции контейнера для концентрата или в месте подключения диализного аппарата). Все стыки должны быть герметизированы, чтобы предотвратить утечку концентрата.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Поскольку бикарбонатные концентраты обеспечивают отличную среду для размножения бактерий, системы доставки бикарбонатного концентрата должны регулярно дезинфицироваться, чтобы обеспечить регулярное достижение диализной жидкостью уровня бактериологической чистоты, рекомендованного в 4.4,2. Инструкции изготовителя могут обеспечить начальный график </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дезинфекции. Однако этот график, возможно, потребуется скорректировать на основе бактериологического наблюдения пользователя. Для трубопроводных распределительных систем вся система, включая порты станции пациента, должна быть очищена от бикарбонатного концентрата перед дезинфекцией. Каждый порт станции пациента должен быть открыт и промыт дезинфицирующим средством, а затем промыт; в противном случае это будет «тупик трубопровода» в системе. Кроме того, настоятельно рекомендуется оперативное использование бикарбонатных концентратов, приготовленных в диализных установках из порошка и диализной воды.</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lastRenderedPageBreak/>
        <w:t>Когда многоразовые контейнеры концентрата используются для распределения бикарбонатного концентрата, они должны быть очищены от остатков концентрата перед дезинфекцией.</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Все химические дезинфицирующие средства (например, гипохлорит натрия и продукты надуксусной кислоты), совместимые с диализными аппаратами, могут быть использованы для дезинфекции систем распределения бикарбонатных концентратов. Однако некоторые дезинфицирующие средства лучше других воздействуют на биопленку. Соответствующие сроки выдержки и концентрации должны использоваться в соответствии с рекомендациями изготовителя системы. Если эта информация отсутствует, то можно использовать растворы гипохлорита натрия, такие как отбеливатель, в разведении 1:100 и запатентованные дезинфицирующие средства в концентрации, рекомендованной изготовителем для дезинфекции трубопроводных систем. В том случае, если выпадение осадков или накопление соли затрудняет прохождение через трубопроводную систему, рекомендуется очистка раствором 5 %-ной уксусной кислоты (например, дистиллированным белым уксусом) в соотношении 1:34. Некоторые изготовители поставляют бикарбонатные концентратные системы с УФ-излучением или озоновыми системами для борьбы с бактериями.</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Устройства УФ-излучения, используемые для контроля размножения бактерий в трубах систем распределения бикарбонатных концентратов, должны быть оснащены ртутной лампой низкого давления, излучающей свет с длиной волны 254 нм и обеспечивающей дозу излучаемой энергии 30 МВт-с/см</w:t>
      </w:r>
      <w:r w:rsidRPr="00E7633B">
        <w:rPr>
          <w:rStyle w:val="FontStyle54"/>
          <w:rFonts w:ascii="Times New Roman" w:hAnsi="Times New Roman" w:cs="Times New Roman"/>
          <w:sz w:val="24"/>
          <w:vertAlign w:val="superscript"/>
          <w:lang w:val="kk-KZ" w:eastAsia="en-US"/>
        </w:rPr>
        <w:t>2</w:t>
      </w:r>
      <w:r w:rsidRPr="00751ED5">
        <w:rPr>
          <w:rStyle w:val="FontStyle54"/>
          <w:rFonts w:ascii="Times New Roman" w:hAnsi="Times New Roman" w:cs="Times New Roman"/>
          <w:sz w:val="24"/>
          <w:lang w:val="kk-KZ" w:eastAsia="en-US"/>
        </w:rPr>
        <w:t>. Устройство должно быть рассчитано на максимальный ожидаемый расход в соответствии с инструкциями изготовителя и оснащено интерактивным монитором выхода излучаемой энергии, который активирует визуальную сигнализацию, указывающую на необходимость замены лампы. В качестве альтернативы лампу следует заменять по заранее установленному графику в соответствии с инструкциями изготовителя для поддержания рекомендуемой мощности излучения. Рекомендуется, чтобы за УФ-излучателями следовал эндотоксиновый фильтр. Дезинфекцию системы распределения бикарбонатного концентрата следует продолжать регулярно проводить.</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При использовании для дезинфекции труб системы распределения бикарбонатного концентрата генератор озона должен быть способен подавать озон в концентрации и в течение времени воздействия, указанного изготовителем. При использовании систем обеззараживания озоном необходимо контролировать содержание озона в окружающем воздухе в соответствии с национальными стандартами и правилами.</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Когда тепло используется для дезинфекции системы распределения бикарбоната, время и температура должны быть подтверждены изготовителем.</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Чрезмерное перемешивание или перемешивание бикарбонатного концентрата может привести к потере СО</w:t>
      </w:r>
      <w:r w:rsidRPr="00E7633B">
        <w:rPr>
          <w:rStyle w:val="FontStyle54"/>
          <w:rFonts w:ascii="Times New Roman" w:hAnsi="Times New Roman" w:cs="Times New Roman"/>
          <w:sz w:val="24"/>
          <w:vertAlign w:val="subscript"/>
          <w:lang w:val="kk-KZ" w:eastAsia="en-US"/>
        </w:rPr>
        <w:t>2</w:t>
      </w:r>
      <w:r w:rsidRPr="00751ED5">
        <w:rPr>
          <w:rStyle w:val="FontStyle54"/>
          <w:rFonts w:ascii="Times New Roman" w:hAnsi="Times New Roman" w:cs="Times New Roman"/>
          <w:sz w:val="24"/>
          <w:lang w:val="kk-KZ" w:eastAsia="en-US"/>
        </w:rPr>
        <w:t xml:space="preserve"> из раствора. Потеря СО</w:t>
      </w:r>
      <w:r w:rsidRPr="00E7633B">
        <w:rPr>
          <w:rStyle w:val="FontStyle54"/>
          <w:rFonts w:ascii="Times New Roman" w:hAnsi="Times New Roman" w:cs="Times New Roman"/>
          <w:sz w:val="24"/>
          <w:vertAlign w:val="subscript"/>
          <w:lang w:val="kk-KZ" w:eastAsia="en-US"/>
        </w:rPr>
        <w:t>2</w:t>
      </w:r>
      <w:r w:rsidRPr="00751ED5">
        <w:rPr>
          <w:rStyle w:val="FontStyle54"/>
          <w:rFonts w:ascii="Times New Roman" w:hAnsi="Times New Roman" w:cs="Times New Roman"/>
          <w:sz w:val="24"/>
          <w:lang w:val="kk-KZ" w:eastAsia="en-US"/>
        </w:rPr>
        <w:t xml:space="preserve"> приводит к увеличению рН и способствует образованию карбоната, который может привести к осаждению карбоната кальция в жидкостных путях диализного аппарата после дозирования диализной жидкости.</w:t>
      </w:r>
    </w:p>
    <w:p w:rsidR="00751ED5" w:rsidRPr="00E7633B" w:rsidRDefault="00751ED5" w:rsidP="00751ED5">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В.5.3.3 Выход концентрата</w:t>
      </w:r>
    </w:p>
    <w:p w:rsid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 xml:space="preserve">Для систем распределения концентрата по трубопроводам каждая станция очистки оснащена выходом концентрата для бикарбоната, одним или несколькими выходами для кислотного концентрата и выходом воды для диализа для подключения к входной линии аппарата для диализа (опция). Для предотвращения путаницы с поставкой двух или более видов кислотного концентрата каждый концентрат должен иметь свой собственный выход. Розетки концентрата должны быть совместимы с аппаратом для диализа и иметь средство минимизации риска того, что неправильный концентрат будет подключен к розетке. Дозирующие патрубки должны быть маркированы соответствующим символом </w:t>
      </w:r>
      <w:r w:rsidRPr="00751ED5">
        <w:rPr>
          <w:rStyle w:val="FontStyle54"/>
          <w:rFonts w:ascii="Times New Roman" w:hAnsi="Times New Roman" w:cs="Times New Roman"/>
          <w:sz w:val="24"/>
          <w:lang w:val="kk-KZ" w:eastAsia="en-US"/>
        </w:rPr>
        <w:lastRenderedPageBreak/>
        <w:t>(см. таблицу В.2), указывающим соотношение дозирования для аппарата для диализа, если это необходимо, и иметь цветовую маркировку синего цвета для бикарбоната и красного цвета для кислоты.</w:t>
      </w:r>
    </w:p>
    <w:p w:rsidR="00E7633B" w:rsidRPr="00751ED5" w:rsidRDefault="00E7633B" w:rsidP="00751ED5">
      <w:pPr>
        <w:pStyle w:val="Style15"/>
        <w:widowControl/>
        <w:ind w:firstLine="567"/>
        <w:rPr>
          <w:rStyle w:val="FontStyle54"/>
          <w:rFonts w:ascii="Times New Roman" w:hAnsi="Times New Roman" w:cs="Times New Roman"/>
          <w:sz w:val="24"/>
          <w:lang w:val="kk-KZ" w:eastAsia="en-US"/>
        </w:rPr>
      </w:pPr>
    </w:p>
    <w:p w:rsidR="00751ED5" w:rsidRPr="00E7633B" w:rsidRDefault="00751ED5" w:rsidP="00751ED5">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В.6 Дозирование диализирующего раствора</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Исторически диализирующий раствор был забуферен ацетатом. Для ацетатного буферного диализирующего раствора вода для диализа смешивается с ацетатсодержащим концентратом для получения диализирующего раствора. В такой системе рН может изменяться в зависимости от подаваемой воды. Хотя для приготовления ацетатного диализирующего раствора используется один концентрат, следует рассмотреть возможность проверки как проводимости, так и рН, поскольку </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смешивание кислотного концентрата и других химических веществ может привести к приемлемой проводимости с неправильным рН.</w:t>
      </w:r>
    </w:p>
    <w:p w:rsidR="00751ED5" w:rsidRP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Одной из функций диализирующего раствора является коррекция метаболического ацидоза, присутствующего у пациентов, проходящих диализное лечение. С ацетатного буферного диализирующего раствора ацетат преобразуется организмом в бикарбонат, может присутствовать непереносимость ацетата и характеризуется вазодилатацией и расслаблением гладкой мускулатуры, что приводит к гипотензии. Современные методы лечения посредством гемодиализа используют технологию дозирования или смешивания, которая использует два отдельных концентрата, смешанных с водой для диализа: кислотный концентрат и бикарбонатный концентрат. Важно, чтобы кислотные и бикарбонатные концентраты соответствовали соотношению дозирования, а также модели и конфигурации установки аппарата для диализа.</w:t>
      </w:r>
    </w:p>
    <w:p w:rsidR="00751ED5" w:rsidRDefault="00751ED5" w:rsidP="00751ED5">
      <w:pPr>
        <w:pStyle w:val="Style15"/>
        <w:widowControl/>
        <w:ind w:firstLine="567"/>
        <w:rPr>
          <w:rStyle w:val="FontStyle54"/>
          <w:rFonts w:ascii="Times New Roman" w:hAnsi="Times New Roman" w:cs="Times New Roman"/>
          <w:sz w:val="24"/>
          <w:lang w:val="kk-KZ" w:eastAsia="en-US"/>
        </w:rPr>
      </w:pPr>
      <w:r w:rsidRPr="00751ED5">
        <w:rPr>
          <w:rStyle w:val="FontStyle54"/>
          <w:rFonts w:ascii="Times New Roman" w:hAnsi="Times New Roman" w:cs="Times New Roman"/>
          <w:sz w:val="24"/>
          <w:lang w:val="kk-KZ" w:eastAsia="en-US"/>
        </w:rPr>
        <w:t>Существует несколько типов трехпоточных концентратов с различным соотношением кислотного концентрата к бикарбонатному концентрату и воде для диализа (см. таблицу В.2). Различные типы пропорций несовместимы друг с другом. Как правило, бикарбонат выпускается в одной или двух формах для каждого типа дозирования (в жидком, картриджном или сухом порошке и в различных размерах). Каждый тип дозирования имеет множество рецептур кислотных концентратов («кодов») с различным количеством ионов калия, кальция и магния, а также глюкозы. Чтобы помочь дифференцировать концентраты различных типов дозирования, ISO 23500-4 рекомендует изготовителю включать геометрический символ на этикетках вместе с кислотно-щелочной цветовой кодировкой.</w:t>
      </w:r>
    </w:p>
    <w:p w:rsidR="00E7633B" w:rsidRDefault="00E7633B" w:rsidP="00751ED5">
      <w:pPr>
        <w:pStyle w:val="Style15"/>
        <w:widowControl/>
        <w:ind w:firstLine="567"/>
        <w:rPr>
          <w:rStyle w:val="FontStyle54"/>
          <w:rFonts w:ascii="Times New Roman" w:hAnsi="Times New Roman" w:cs="Times New Roman"/>
          <w:sz w:val="24"/>
          <w:lang w:val="kk-KZ" w:eastAsia="en-US"/>
        </w:rPr>
      </w:pPr>
    </w:p>
    <w:p w:rsidR="00E7633B" w:rsidRDefault="00E7633B" w:rsidP="00E7633B">
      <w:pPr>
        <w:pStyle w:val="Style15"/>
        <w:widowControl/>
        <w:ind w:firstLine="0"/>
        <w:jc w:val="center"/>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Таблица В.2 – Символы и цветовое кодирование для различных пропорций дозирования концентрата</w:t>
      </w:r>
    </w:p>
    <w:tbl>
      <w:tblPr>
        <w:tblW w:w="9498" w:type="dxa"/>
        <w:tblInd w:w="40" w:type="dxa"/>
        <w:tblLayout w:type="fixed"/>
        <w:tblCellMar>
          <w:left w:w="40" w:type="dxa"/>
          <w:right w:w="40" w:type="dxa"/>
        </w:tblCellMar>
        <w:tblLook w:val="0000" w:firstRow="0" w:lastRow="0" w:firstColumn="0" w:lastColumn="0" w:noHBand="0" w:noVBand="0"/>
      </w:tblPr>
      <w:tblGrid>
        <w:gridCol w:w="1560"/>
        <w:gridCol w:w="2268"/>
        <w:gridCol w:w="1984"/>
        <w:gridCol w:w="1985"/>
        <w:gridCol w:w="1701"/>
      </w:tblGrid>
      <w:tr w:rsidR="00E7633B" w:rsidRPr="00E7633B" w:rsidTr="00E7633B">
        <w:tc>
          <w:tcPr>
            <w:tcW w:w="1560"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 концентрата</w:t>
            </w:r>
          </w:p>
        </w:tc>
        <w:tc>
          <w:tcPr>
            <w:tcW w:w="2268"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 xml:space="preserve">Соотношение дозирования кислот </w:t>
            </w:r>
            <w:r w:rsidRPr="00E7633B">
              <w:rPr>
                <w:rFonts w:eastAsia="Calibri"/>
                <w:sz w:val="24"/>
                <w:szCs w:val="24"/>
                <w:lang w:eastAsia="en-US"/>
              </w:rPr>
              <w:t>(красная цветовая кодировка)</w:t>
            </w:r>
          </w:p>
        </w:tc>
        <w:tc>
          <w:tcPr>
            <w:tcW w:w="1984"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Геометрический символ</w:t>
            </w:r>
          </w:p>
        </w:tc>
        <w:tc>
          <w:tcPr>
            <w:tcW w:w="1985"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Бикарбонатный концентрат</w:t>
            </w:r>
          </w:p>
          <w:p w:rsidR="00E7633B" w:rsidRPr="00E7633B" w:rsidRDefault="00E7633B" w:rsidP="00E7633B">
            <w:pPr>
              <w:widowControl/>
              <w:autoSpaceDE/>
              <w:autoSpaceDN/>
              <w:adjustRightInd/>
              <w:ind w:firstLine="0"/>
              <w:jc w:val="center"/>
              <w:rPr>
                <w:rFonts w:eastAsia="Calibri"/>
                <w:sz w:val="24"/>
                <w:szCs w:val="24"/>
                <w:lang w:eastAsia="en-US"/>
              </w:rPr>
            </w:pPr>
            <w:r w:rsidRPr="00E7633B">
              <w:rPr>
                <w:rFonts w:eastAsia="Calibri"/>
                <w:sz w:val="24"/>
                <w:szCs w:val="24"/>
                <w:lang w:eastAsia="en-US"/>
              </w:rPr>
              <w:t>(синяя цветовая кодировка)</w:t>
            </w:r>
          </w:p>
        </w:tc>
        <w:tc>
          <w:tcPr>
            <w:tcW w:w="1701"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E7633B" w:rsidTr="00E7633B">
        <w:tc>
          <w:tcPr>
            <w:tcW w:w="1560" w:type="dxa"/>
            <w:tcBorders>
              <w:top w:val="double" w:sz="4"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35Х</w:t>
            </w:r>
          </w:p>
        </w:tc>
        <w:tc>
          <w:tcPr>
            <w:tcW w:w="2268" w:type="dxa"/>
            <w:tcBorders>
              <w:top w:val="double" w:sz="4"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1+34</w:t>
            </w:r>
            <w:r w:rsidRPr="00E7633B">
              <w:rPr>
                <w:rFonts w:eastAsia="Calibri"/>
                <w:sz w:val="24"/>
                <w:szCs w:val="24"/>
                <w:vertAlign w:val="superscript"/>
                <w:lang w:eastAsia="en-US"/>
              </w:rPr>
              <w:t>а</w:t>
            </w:r>
          </w:p>
        </w:tc>
        <w:tc>
          <w:tcPr>
            <w:tcW w:w="1984" w:type="dxa"/>
            <w:tcBorders>
              <w:top w:val="double" w:sz="4"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Квадрат</w:t>
            </w:r>
          </w:p>
        </w:tc>
        <w:tc>
          <w:tcPr>
            <w:tcW w:w="1985" w:type="dxa"/>
            <w:tcBorders>
              <w:top w:val="double" w:sz="4"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Сухой, жидкий или картридж</w:t>
            </w:r>
          </w:p>
        </w:tc>
        <w:tc>
          <w:tcPr>
            <w:tcW w:w="1701" w:type="dxa"/>
            <w:tcBorders>
              <w:top w:val="double" w:sz="4"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jc w:val="left"/>
              <w:rPr>
                <w:rFonts w:eastAsia="Calibri"/>
                <w:sz w:val="24"/>
                <w:szCs w:val="24"/>
                <w:lang w:eastAsia="en-US"/>
              </w:rPr>
            </w:pPr>
          </w:p>
        </w:tc>
      </w:tr>
      <w:tr w:rsidR="00E7633B" w:rsidRPr="00E7633B" w:rsidTr="00E7633B">
        <w:tc>
          <w:tcPr>
            <w:tcW w:w="1560"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36,83Х</w:t>
            </w:r>
          </w:p>
        </w:tc>
        <w:tc>
          <w:tcPr>
            <w:tcW w:w="2268"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1+35,83</w:t>
            </w:r>
            <w:r w:rsidRPr="00E7633B">
              <w:rPr>
                <w:rFonts w:eastAsia="Calibri"/>
                <w:sz w:val="24"/>
                <w:szCs w:val="24"/>
                <w:vertAlign w:val="superscript"/>
                <w:lang w:eastAsia="en-US"/>
              </w:rPr>
              <w:t>а</w:t>
            </w:r>
          </w:p>
        </w:tc>
        <w:tc>
          <w:tcPr>
            <w:tcW w:w="1984"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Круг</w:t>
            </w:r>
          </w:p>
        </w:tc>
        <w:tc>
          <w:tcPr>
            <w:tcW w:w="1985"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Сухой или жидкий</w:t>
            </w:r>
          </w:p>
        </w:tc>
        <w:tc>
          <w:tcPr>
            <w:tcW w:w="1701"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ind w:firstLine="0"/>
              <w:jc w:val="left"/>
              <w:rPr>
                <w:rFonts w:eastAsia="Calibri"/>
                <w:sz w:val="24"/>
                <w:szCs w:val="24"/>
                <w:lang w:val="kk-KZ" w:eastAsia="en-US"/>
              </w:rPr>
            </w:pPr>
            <w:r w:rsidRPr="00E7633B">
              <w:rPr>
                <w:rFonts w:eastAsia="Calibri"/>
                <w:sz w:val="24"/>
                <w:szCs w:val="24"/>
                <w:lang w:eastAsia="en-US"/>
              </w:rPr>
              <w:t>Концентрация бикарбоната</w:t>
            </w:r>
            <w:r>
              <w:rPr>
                <w:rFonts w:eastAsia="Calibri"/>
                <w:sz w:val="24"/>
                <w:szCs w:val="24"/>
                <w:lang w:val="kk-KZ" w:eastAsia="en-US"/>
              </w:rPr>
              <w:t xml:space="preserve"> </w:t>
            </w:r>
            <w:r>
              <w:rPr>
                <w:rFonts w:eastAsia="Calibri"/>
                <w:sz w:val="24"/>
                <w:szCs w:val="24"/>
                <w:lang w:eastAsia="en-US"/>
              </w:rPr>
              <w:t>содержит</w:t>
            </w:r>
            <w:r>
              <w:rPr>
                <w:rFonts w:eastAsia="Calibri"/>
                <w:sz w:val="24"/>
                <w:szCs w:val="24"/>
                <w:lang w:val="kk-KZ" w:eastAsia="en-US"/>
              </w:rPr>
              <w:t xml:space="preserve"> </w:t>
            </w:r>
            <w:r w:rsidRPr="00E7633B">
              <w:rPr>
                <w:rFonts w:eastAsia="Calibri"/>
                <w:sz w:val="24"/>
                <w:szCs w:val="24"/>
                <w:lang w:eastAsia="en-US"/>
              </w:rPr>
              <w:t>некоторое</w:t>
            </w:r>
            <w:r>
              <w:rPr>
                <w:rFonts w:eastAsia="Calibri"/>
                <w:sz w:val="24"/>
                <w:szCs w:val="24"/>
                <w:lang w:val="kk-KZ" w:eastAsia="en-US"/>
              </w:rPr>
              <w:t xml:space="preserve"> </w:t>
            </w:r>
            <w:r>
              <w:rPr>
                <w:rFonts w:eastAsia="Calibri"/>
                <w:sz w:val="24"/>
                <w:szCs w:val="24"/>
                <w:lang w:eastAsia="en-US"/>
              </w:rPr>
              <w:t>количество NaCI</w:t>
            </w:r>
          </w:p>
          <w:p w:rsidR="00E7633B" w:rsidRPr="00E7633B" w:rsidRDefault="00E7633B" w:rsidP="00E7633B">
            <w:pPr>
              <w:widowControl/>
              <w:autoSpaceDE/>
              <w:autoSpaceDN/>
              <w:adjustRightInd/>
              <w:ind w:firstLine="0"/>
              <w:jc w:val="left"/>
              <w:rPr>
                <w:rFonts w:eastAsia="Calibri"/>
                <w:sz w:val="24"/>
                <w:szCs w:val="24"/>
                <w:lang w:val="kk-KZ" w:eastAsia="en-US"/>
              </w:rPr>
            </w:pPr>
          </w:p>
        </w:tc>
      </w:tr>
      <w:tr w:rsidR="00E7633B" w:rsidRPr="00E7633B" w:rsidTr="00E7633B">
        <w:tc>
          <w:tcPr>
            <w:tcW w:w="9498" w:type="dxa"/>
            <w:gridSpan w:val="5"/>
            <w:tcBorders>
              <w:bottom w:val="single" w:sz="4" w:space="0" w:color="auto"/>
            </w:tcBorders>
          </w:tcPr>
          <w:p w:rsidR="00E7633B" w:rsidRPr="00E7633B" w:rsidRDefault="00E7633B" w:rsidP="00E7633B">
            <w:pPr>
              <w:widowControl/>
              <w:autoSpaceDE/>
              <w:autoSpaceDN/>
              <w:adjustRightInd/>
              <w:ind w:firstLine="0"/>
              <w:jc w:val="center"/>
              <w:rPr>
                <w:rFonts w:eastAsia="Calibri"/>
                <w:i/>
                <w:sz w:val="24"/>
                <w:szCs w:val="24"/>
                <w:lang w:val="kk-KZ" w:eastAsia="en-US"/>
              </w:rPr>
            </w:pPr>
            <w:r w:rsidRPr="00E7633B">
              <w:rPr>
                <w:rFonts w:eastAsia="Calibri"/>
                <w:i/>
                <w:sz w:val="24"/>
                <w:szCs w:val="24"/>
                <w:lang w:val="kk-KZ" w:eastAsia="en-US"/>
              </w:rPr>
              <w:lastRenderedPageBreak/>
              <w:t>Окончание таблицы В.2</w:t>
            </w:r>
          </w:p>
        </w:tc>
      </w:tr>
      <w:tr w:rsidR="00E7633B" w:rsidRPr="00E7633B" w:rsidTr="00E7633B">
        <w:tc>
          <w:tcPr>
            <w:tcW w:w="1560"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 концентрата</w:t>
            </w:r>
          </w:p>
        </w:tc>
        <w:tc>
          <w:tcPr>
            <w:tcW w:w="2268"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val="kk-KZ" w:eastAsia="en-US"/>
              </w:rPr>
            </w:pPr>
            <w:r w:rsidRPr="00E7633B">
              <w:rPr>
                <w:rFonts w:eastAsia="Calibri"/>
                <w:b/>
                <w:sz w:val="24"/>
                <w:szCs w:val="24"/>
                <w:lang w:eastAsia="en-US"/>
              </w:rPr>
              <w:t xml:space="preserve">Соотношение дозирования кислот </w:t>
            </w:r>
            <w:r w:rsidRPr="00E7633B">
              <w:rPr>
                <w:rFonts w:eastAsia="Calibri"/>
                <w:sz w:val="24"/>
                <w:szCs w:val="24"/>
                <w:lang w:eastAsia="en-US"/>
              </w:rPr>
              <w:t>(красная цветовая кодировка)</w:t>
            </w:r>
          </w:p>
        </w:tc>
        <w:tc>
          <w:tcPr>
            <w:tcW w:w="1984"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Геометрический символ</w:t>
            </w:r>
          </w:p>
        </w:tc>
        <w:tc>
          <w:tcPr>
            <w:tcW w:w="1985"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Бикарбонатный концентрат</w:t>
            </w:r>
          </w:p>
          <w:p w:rsidR="00E7633B" w:rsidRPr="00E7633B" w:rsidRDefault="00E7633B" w:rsidP="00E7633B">
            <w:pPr>
              <w:widowControl/>
              <w:autoSpaceDE/>
              <w:autoSpaceDN/>
              <w:adjustRightInd/>
              <w:ind w:firstLine="0"/>
              <w:jc w:val="center"/>
              <w:rPr>
                <w:rFonts w:eastAsia="Calibri"/>
                <w:sz w:val="24"/>
                <w:szCs w:val="24"/>
                <w:lang w:eastAsia="en-US"/>
              </w:rPr>
            </w:pPr>
            <w:r w:rsidRPr="00E7633B">
              <w:rPr>
                <w:rFonts w:eastAsia="Calibri"/>
                <w:sz w:val="24"/>
                <w:szCs w:val="24"/>
                <w:lang w:eastAsia="en-US"/>
              </w:rPr>
              <w:t>(синяя цветовая кодировка)</w:t>
            </w:r>
          </w:p>
        </w:tc>
        <w:tc>
          <w:tcPr>
            <w:tcW w:w="1701"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E7633B" w:rsidTr="00E7633B">
        <w:tc>
          <w:tcPr>
            <w:tcW w:w="156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45Х</w:t>
            </w:r>
          </w:p>
        </w:tc>
        <w:tc>
          <w:tcPr>
            <w:tcW w:w="2268"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1+44</w:t>
            </w:r>
            <w:r w:rsidRPr="00E7633B">
              <w:rPr>
                <w:rFonts w:eastAsia="Calibri"/>
                <w:sz w:val="24"/>
                <w:szCs w:val="24"/>
                <w:vertAlign w:val="superscript"/>
                <w:lang w:eastAsia="en-US"/>
              </w:rPr>
              <w:t>а</w:t>
            </w:r>
          </w:p>
        </w:tc>
        <w:tc>
          <w:tcPr>
            <w:tcW w:w="1984"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Треугольник</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Сухой, жидкий или картридж</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jc w:val="left"/>
              <w:rPr>
                <w:rFonts w:eastAsia="Calibri"/>
                <w:sz w:val="24"/>
                <w:szCs w:val="24"/>
                <w:lang w:eastAsia="en-US"/>
              </w:rPr>
            </w:pPr>
          </w:p>
        </w:tc>
      </w:tr>
      <w:tr w:rsidR="00E7633B" w:rsidRPr="00E7633B" w:rsidTr="00E7633B">
        <w:tc>
          <w:tcPr>
            <w:tcW w:w="156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36.1Х</w:t>
            </w:r>
          </w:p>
        </w:tc>
        <w:tc>
          <w:tcPr>
            <w:tcW w:w="2268"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1+35,1</w:t>
            </w:r>
            <w:r w:rsidRPr="00E7633B">
              <w:rPr>
                <w:rFonts w:eastAsia="Calibri"/>
                <w:sz w:val="24"/>
                <w:szCs w:val="24"/>
                <w:vertAlign w:val="superscript"/>
                <w:lang w:eastAsia="en-US"/>
              </w:rPr>
              <w:t>а</w:t>
            </w:r>
          </w:p>
        </w:tc>
        <w:tc>
          <w:tcPr>
            <w:tcW w:w="1984"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Ромб</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Картридж</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jc w:val="left"/>
              <w:rPr>
                <w:rFonts w:eastAsia="Calibri"/>
                <w:sz w:val="24"/>
                <w:szCs w:val="24"/>
                <w:lang w:eastAsia="en-US"/>
              </w:rPr>
            </w:pPr>
            <w:r w:rsidRPr="00E7633B">
              <w:rPr>
                <w:rFonts w:eastAsia="Calibri"/>
                <w:sz w:val="24"/>
                <w:szCs w:val="24"/>
                <w:lang w:eastAsia="en-US"/>
              </w:rPr>
              <w:t xml:space="preserve">Порошковые картриджи могут использоваться для других пропорций дозирования, за исключением 36,83 X, в </w:t>
            </w:r>
            <w:r w:rsidRPr="00E7633B">
              <w:rPr>
                <w:rFonts w:eastAsia="Arial"/>
                <w:sz w:val="24"/>
                <w:szCs w:val="24"/>
                <w:lang w:eastAsia="en-US"/>
              </w:rPr>
              <w:t>которых бикарбонатный концентрат также содержит NaCI.</w:t>
            </w:r>
          </w:p>
        </w:tc>
      </w:tr>
      <w:tr w:rsidR="00E7633B" w:rsidRPr="00E7633B" w:rsidTr="00E7633B">
        <w:tc>
          <w:tcPr>
            <w:tcW w:w="9498" w:type="dxa"/>
            <w:gridSpan w:val="5"/>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527"/>
              <w:rPr>
                <w:rFonts w:eastAsia="Arial"/>
                <w:lang w:eastAsia="en-US"/>
              </w:rPr>
            </w:pPr>
            <w:r w:rsidRPr="00E7633B">
              <w:rPr>
                <w:rFonts w:eastAsia="Arial"/>
                <w:lang w:eastAsia="en-US"/>
              </w:rPr>
              <w:t xml:space="preserve">Примечание – Ацетатсодержащий концентрат имеет белую цветовую маркировку. </w:t>
            </w:r>
          </w:p>
          <w:p w:rsidR="00E7633B" w:rsidRPr="00E7633B" w:rsidRDefault="00E7633B" w:rsidP="00E7633B">
            <w:pPr>
              <w:widowControl/>
              <w:autoSpaceDE/>
              <w:autoSpaceDN/>
              <w:adjustRightInd/>
              <w:ind w:firstLine="527"/>
              <w:rPr>
                <w:rFonts w:eastAsia="Arial"/>
                <w:vertAlign w:val="superscript"/>
                <w:lang w:val="kk-KZ" w:eastAsia="en-US"/>
              </w:rPr>
            </w:pPr>
          </w:p>
          <w:p w:rsidR="00E7633B" w:rsidRPr="00E7633B" w:rsidRDefault="00E7633B" w:rsidP="00E7633B">
            <w:pPr>
              <w:widowControl/>
              <w:autoSpaceDE/>
              <w:autoSpaceDN/>
              <w:adjustRightInd/>
              <w:ind w:firstLine="527"/>
              <w:rPr>
                <w:rFonts w:eastAsia="Calibri"/>
                <w:sz w:val="24"/>
                <w:szCs w:val="24"/>
                <w:lang w:eastAsia="en-US"/>
              </w:rPr>
            </w:pPr>
            <w:r w:rsidRPr="00E7633B">
              <w:rPr>
                <w:rFonts w:eastAsia="Arial"/>
                <w:vertAlign w:val="superscript"/>
                <w:lang w:eastAsia="en-US"/>
              </w:rPr>
              <w:t>а</w:t>
            </w:r>
            <w:r w:rsidRPr="00E7633B">
              <w:rPr>
                <w:rFonts w:eastAsia="Arial"/>
                <w:lang w:eastAsia="en-US"/>
              </w:rPr>
              <w:t xml:space="preserve"> Кислота + бикарбонат + вода.</w:t>
            </w:r>
          </w:p>
        </w:tc>
      </w:tr>
    </w:tbl>
    <w:p w:rsidR="00E7633B" w:rsidRDefault="00E7633B" w:rsidP="00E7633B">
      <w:pPr>
        <w:pStyle w:val="Style15"/>
        <w:widowControl/>
        <w:ind w:firstLine="567"/>
        <w:rPr>
          <w:rStyle w:val="FontStyle54"/>
          <w:rFonts w:ascii="Times New Roman" w:hAnsi="Times New Roman" w:cs="Times New Roman"/>
          <w:b/>
          <w:sz w:val="24"/>
          <w:highlight w:val="yellow"/>
          <w:lang w:val="kk-KZ" w:eastAsia="en-US"/>
        </w:rPr>
      </w:pP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Различные изготовители аппаратов для диализа используют различные методы контроля пропорций концентратов. Таким управлением может быть «фиксированное дозирование» или «сервоуправление». С помощью обоих методов оператор может выбрать желаемый уровень натрия и бикарбоната или проводимость, соответствующую определенным уровням натрия и бикарбоната, и машина произведет необходимые регулировки для достижения выбранных уровней. Оба типа используют избыточную систему контроля и наблюдения. С помощью фиксированных систем дозирования насосы устанавливаются на установленные объемы, и конечная проводимость проверяется. В машинах с сервоуправлением отдельные концентраты добавляются до тех пор, пока проводимость не достигнет ожидаемого значения. Окончательный резервный монитор проводимости контролирует проводимость. Некоторые машины также контролируют рН диализной жидкости в качестве дополнительной гарантии от грубых ошибок в рецептуре диализной жидкости. Другой тип машины с баком серии и преданными концентратами также доступен.</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В зависимости от типа используемого подкисленного концентрата кислотный компонент может быть в виде ацетата натрия, диацетата натрия или лимонной кислоты. Ацетат метаболизируется до бикарбоната в соотношении 1:1, в то время как лимонная кислота образует бикарбонат в молярном соотношении 3:1.</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 xml:space="preserve">При выборе бикарбоната диализирующего раствора врач должен учитывать все источники буфера, поставляемого пациенту во время лечения диализом, включая бикарбонат в бикарбонатном концентрате, ацетат, цитрат или лактат в кислотном концентрате, который при метаболизме образует бикарбонат. При выборе назначения бикарбоната врач должен учитывать состояние питания пациента, оцениваемое по анамнезу, физическому обследованию, антропометрии, содержанию сывороточного альбумина и белкового азота, поскольку лица, чей метаболизм приводит к небольшой </w:t>
      </w:r>
      <w:r w:rsidRPr="00E7633B">
        <w:rPr>
          <w:rStyle w:val="FontStyle54"/>
          <w:rFonts w:ascii="Times New Roman" w:hAnsi="Times New Roman" w:cs="Times New Roman"/>
          <w:sz w:val="24"/>
          <w:lang w:val="kk-KZ" w:eastAsia="en-US"/>
        </w:rPr>
        <w:lastRenderedPageBreak/>
        <w:t>кислотной нагрузке, подвергаются более высокому риску развития метаболического алкалоза после лечения. Решения о назначении бикарбоната должны также учитывать изменения концентрации калия, магния и кальция в сыворотке крови во время диализа, а также наличие и тяжесть сердечных заболеваний.</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Некоторые модели аппаратов для диализа используют фиксированное пропорционирующее соотношение, в то время как другие могут быть настроены или откалиброваны для использования с концентратами с более чем одним пропорционирующим соотношением. (Обратите внимание, что переход от одной пропорции к другой требует повторной калибровки для некоторых моделей аппаратов для диализа.) Таким образом, для таких аппаратов тип концентрата должен быть маркирован на аппарате или четко обозначен дисплеем аппарата. Настоятельно рекомендуется, чтобы оборудование настроило каждый аппарат на использование только одного типа концентрата.</w:t>
      </w:r>
    </w:p>
    <w:p w:rsid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Травмы, связанные с неправильным составом диализирующего раствора, встречаются редко, но они могут и случаются, когда не соблюдаются все процедуры. Часто, когда происходит ошибка, несколько пациентов подвергаются воздействию до того, как учреждение распознает ошибку. Например, поскольку один из концентратов является кислотным, а другой-основным, подключение неправильных концентратов к аппарату может привести к образованию диализирующего раствора, который может нанести вред пациенту. Таким образом, оператору необходимо следовать инструкциям изготовителя относительно проводимости диализирующего раствора, включая измерение приблизительного рН независимым методом перед началом лечения следующего пациента, если это рекомендовано изготовителем аппарата для диализа. В последнее время были разработаны системы, использующие три концентрата (бикарбонат, хлорид натрия и кислотный концентрат, содержащий оставшиеся электролиты) для обеспечения более сложного изменения состава диализирующего раствора во время диализа.</w:t>
      </w:r>
    </w:p>
    <w:p w:rsidR="00E7633B" w:rsidRDefault="00E7633B" w:rsidP="00E7633B">
      <w:pPr>
        <w:pStyle w:val="Style15"/>
        <w:widowControl/>
        <w:ind w:firstLine="567"/>
        <w:rPr>
          <w:rStyle w:val="FontStyle54"/>
          <w:rFonts w:ascii="Times New Roman" w:hAnsi="Times New Roman" w:cs="Times New Roman"/>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В.7 Центральные системы хранения и доставки диализирующего раствора</w:t>
      </w: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В.7.1 Общие положения</w:t>
      </w:r>
    </w:p>
    <w:p w:rsid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Диализирующий раствор может быть подготовлена централизованно и распределена по отдельным диализным пультам на станциях обработки с использованием центральной системы доставки диализирующего раствора (CDDS). Центральные системы доставки диализирующего раствора включают в себя многие функции, обнаруженные в системах хранения и распределения воды для диализа (см. В.З) и системах подготовки концентрата (см. В.4), и большинство рекомендаций в этих пунктах применимы к системам доставки центрального диализирующего раствора; однако необходимо учитывать и дополнительные факторы.</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В.7.2 Проектирование и техническое обслуживание</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Центральные системы доставки диализирующего раствора обычно проектируются как однопроходные системы, хотя также может использоваться контур распределения.</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Если используется контур распределения, то необходимо обратить внимание на предотвращение осаждения карбоната кальция и повышения рН в результате потери СО</w:t>
      </w:r>
      <w:r w:rsidRPr="00E7633B">
        <w:rPr>
          <w:rStyle w:val="FontStyle54"/>
          <w:rFonts w:ascii="Times New Roman" w:hAnsi="Times New Roman" w:cs="Times New Roman"/>
          <w:sz w:val="24"/>
          <w:vertAlign w:val="subscript"/>
          <w:lang w:val="kk-KZ" w:eastAsia="en-US"/>
        </w:rPr>
        <w:t>2</w:t>
      </w:r>
      <w:r w:rsidRPr="00E7633B">
        <w:rPr>
          <w:rStyle w:val="FontStyle54"/>
          <w:rFonts w:ascii="Times New Roman" w:hAnsi="Times New Roman" w:cs="Times New Roman"/>
          <w:sz w:val="24"/>
          <w:lang w:val="kk-KZ" w:eastAsia="en-US"/>
        </w:rPr>
        <w:t xml:space="preserve"> и повышения температуры при циркуляции диализирующего раствора.</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Центральные системы доставки диализирующего раствора должны ежедневно дезинфицироваться, чтобы ограничить образование биопленки с помощью химического дезинфицирующего средства или горячей воды. Такая дезинфекция должна включать в себя подключение трубки к индивидуальной диализной консоли.</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lastRenderedPageBreak/>
        <w:t>Методы микробиологического контроля для систем доставки центрального диализирующего раствора должны быть аналогичны методам, описанным в пункте 8.3. Наблюдение должно включать в себя индивидуальные диализные пульты, расположенные на каждой станции лечения, а также систему распределения диализирующего раствора. Отбор проб должен включать в себя пробы, взятые с входа в систему дозирования диализирующего раствора и входа в отдельные диализные пульты. Периодичность контроля должна соответствовать применимым местным рекомендациям; если таких рекомендаций не существует, то предлагается следующее:</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a) система водоснабжения: количество проб и позиции отбора проб должны основываться на сложности и размерах системы водоснабжения. Периодичность будет зависеть от анализа данных, собранных в ходе валидации и повторной валидации. Наиболее часто применяется ежемесячное наблюдение, но менее частое наблюдение может быть возможным на основе данных, собранных в ходе валидации и повторной валидации.</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b) аппараты для диализирующего раствора/гемодиализа без валидированного бактериального и эндотоксинового фильтра: машины должны регулярно отбираться для подтверждения эффективности процесса дезинфекции. График отбора проб будет зависеть от типа используемого процесса дезинфекции. Каждый аппарат должен быть отобран, по крайней мере, один раз в год, и различные аппараты должны быть отобраны в каждом случае. Чаще всего применяется ежемесячное наблюдение.</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c) нет необходимости отбирать пробы ультрачистого диализирующего раствора или замещающего раствора, если их производственные пути оснащены бактериальными и эндотоксиновыми фильтрами, утвержденными изготовителем и эксплуатируемыми и контролируемыми в соответствии с инструкциями изготовителя. Может возникнуть необходимость отбора проб диализирующего раствора, поступающего в такие бактериальные и эндотоксиновыми фильтры, в зависимости от инструкций изготовителя по использованию фильтров; например, когда в инструкции по применению указано качество жидкости, поступающей в фильтр, (см. также приложения D и Е настоящего стандарта)</w:t>
      </w:r>
      <w:r>
        <w:rPr>
          <w:rStyle w:val="FontStyle54"/>
          <w:rFonts w:ascii="Times New Roman" w:hAnsi="Times New Roman" w:cs="Times New Roman"/>
          <w:sz w:val="24"/>
          <w:lang w:val="kk-KZ" w:eastAsia="en-US"/>
        </w:rPr>
        <w:t>.</w:t>
      </w:r>
    </w:p>
    <w:p w:rsid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Результаты испытания должны быть подвергнуты трендовому анализу. Когда результаты превышают уровни действия, или в случае пирогенной реакции пациента или подозрения на бактериемию/фунгемию, следует начать расследование и последующее наблюдение. Это исследование может включать дополнительный отбор проб и дополнительные процедуры дезинфекции, проводимые в соответствии с рекомендациями изготовителя.</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В.7.3 Хранение диализирующего раствора</w:t>
      </w:r>
    </w:p>
    <w:p w:rsid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Центральные системы доставки диализирующего раствора обычно включают резервуар для хранения диализирующего раствора. Резервуар должен быть сконструирован таким образом, чтобы полностью сливаться; например, он должен иметь наклонное дно и слив в самой нижней точке, а также вентилироваться через гидрофобный воздушный фильтр 0,45 мкм.</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В.7.4 Совместимость материалов</w:t>
      </w:r>
    </w:p>
    <w:p w:rsid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 xml:space="preserve">Все компоненты, используемые в системах хранения и доставки диализирующего раствора (включая резервуары для хранения, насосы, клапаны и трубопроводы), должны быть изготовлены из материалов (например, пластмасс или соответствующей нержавеющей стали), которые не взаимодействуют химически или физически с диализирующим раствором, чтобы повлиять на ее чистоту, или с бактерицидами или бактерицидными процедурами, используемыми для дезинфекции системы. Использование </w:t>
      </w:r>
      <w:r w:rsidRPr="00E7633B">
        <w:rPr>
          <w:rStyle w:val="FontStyle54"/>
          <w:rFonts w:ascii="Times New Roman" w:hAnsi="Times New Roman" w:cs="Times New Roman"/>
          <w:sz w:val="24"/>
          <w:lang w:val="kk-KZ" w:eastAsia="en-US"/>
        </w:rPr>
        <w:lastRenderedPageBreak/>
        <w:t>материалов, которые, как известно, вызывают токсичность при гемодиализе, таких как медь, латунь, цинк, оцинкованный материал, свинец и алюминий, специально запрещено.</w:t>
      </w:r>
    </w:p>
    <w:p w:rsidR="00E7633B" w:rsidRDefault="00E7633B" w:rsidP="00E7633B">
      <w:pPr>
        <w:pStyle w:val="Style15"/>
        <w:widowControl/>
        <w:ind w:firstLine="567"/>
        <w:rPr>
          <w:rStyle w:val="FontStyle54"/>
          <w:rFonts w:ascii="Times New Roman" w:hAnsi="Times New Roman" w:cs="Times New Roman"/>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sz w:val="24"/>
          <w:highlight w:val="yellow"/>
          <w:lang w:val="kk-KZ" w:eastAsia="en-US"/>
        </w:rPr>
      </w:pP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Default="00E7633B" w:rsidP="004636A8">
      <w:pPr>
        <w:pStyle w:val="Style15"/>
        <w:widowControl/>
        <w:ind w:firstLine="0"/>
        <w:jc w:val="center"/>
        <w:rPr>
          <w:rStyle w:val="FontStyle54"/>
          <w:rFonts w:ascii="Times New Roman" w:hAnsi="Times New Roman" w:cs="Times New Roman"/>
          <w:b/>
          <w:sz w:val="24"/>
          <w:highlight w:val="yellow"/>
          <w:lang w:val="kk-KZ" w:eastAsia="en-US"/>
        </w:rPr>
      </w:pPr>
    </w:p>
    <w:p w:rsidR="00E7633B" w:rsidRPr="00E7633B" w:rsidRDefault="00E7633B" w:rsidP="00E7633B">
      <w:pPr>
        <w:pStyle w:val="Style15"/>
        <w:widowControl/>
        <w:ind w:firstLine="0"/>
        <w:jc w:val="center"/>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lastRenderedPageBreak/>
        <w:t>Приложение С</w:t>
      </w:r>
    </w:p>
    <w:p w:rsidR="00E7633B" w:rsidRPr="00E7633B" w:rsidRDefault="00E7633B" w:rsidP="00E7633B">
      <w:pPr>
        <w:pStyle w:val="Style15"/>
        <w:widowControl/>
        <w:ind w:firstLine="0"/>
        <w:jc w:val="center"/>
        <w:rPr>
          <w:rStyle w:val="FontStyle54"/>
          <w:rFonts w:ascii="Times New Roman" w:hAnsi="Times New Roman" w:cs="Times New Roman"/>
          <w:i/>
          <w:sz w:val="24"/>
          <w:lang w:val="kk-KZ" w:eastAsia="en-US"/>
        </w:rPr>
      </w:pPr>
      <w:r w:rsidRPr="00E7633B">
        <w:rPr>
          <w:rStyle w:val="FontStyle54"/>
          <w:rFonts w:ascii="Times New Roman" w:hAnsi="Times New Roman" w:cs="Times New Roman"/>
          <w:i/>
          <w:sz w:val="24"/>
          <w:lang w:val="kk-KZ" w:eastAsia="en-US"/>
        </w:rPr>
        <w:t>(информационное)</w:t>
      </w:r>
    </w:p>
    <w:p w:rsidR="00E7633B" w:rsidRPr="00E7633B" w:rsidRDefault="00E7633B" w:rsidP="00E7633B">
      <w:pPr>
        <w:pStyle w:val="Style15"/>
        <w:widowControl/>
        <w:ind w:firstLine="0"/>
        <w:jc w:val="center"/>
        <w:rPr>
          <w:rStyle w:val="FontStyle54"/>
          <w:rFonts w:ascii="Times New Roman" w:hAnsi="Times New Roman" w:cs="Times New Roman"/>
          <w:b/>
          <w:sz w:val="24"/>
          <w:lang w:val="kk-KZ" w:eastAsia="en-US"/>
        </w:rPr>
      </w:pPr>
    </w:p>
    <w:p w:rsidR="00E7633B" w:rsidRDefault="00E7633B" w:rsidP="00E7633B">
      <w:pPr>
        <w:pStyle w:val="Style15"/>
        <w:widowControl/>
        <w:ind w:firstLine="0"/>
        <w:jc w:val="center"/>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Руководство по контролю за об</w:t>
      </w:r>
      <w:r>
        <w:rPr>
          <w:rStyle w:val="FontStyle54"/>
          <w:rFonts w:ascii="Times New Roman" w:hAnsi="Times New Roman" w:cs="Times New Roman"/>
          <w:b/>
          <w:sz w:val="24"/>
          <w:lang w:val="kk-KZ" w:eastAsia="en-US"/>
        </w:rPr>
        <w:t xml:space="preserve">орудованием для водоподготовки, </w:t>
      </w:r>
      <w:r w:rsidRPr="00E7633B">
        <w:rPr>
          <w:rStyle w:val="FontStyle54"/>
          <w:rFonts w:ascii="Times New Roman" w:hAnsi="Times New Roman" w:cs="Times New Roman"/>
          <w:b/>
          <w:sz w:val="24"/>
          <w:lang w:val="kk-KZ" w:eastAsia="en-US"/>
        </w:rPr>
        <w:t>распределительными системами и диализирующим раствором</w:t>
      </w:r>
    </w:p>
    <w:p w:rsidR="00E7633B" w:rsidRDefault="00E7633B" w:rsidP="00E7633B">
      <w:pPr>
        <w:pStyle w:val="Style15"/>
        <w:widowControl/>
        <w:ind w:firstLine="0"/>
        <w:jc w:val="center"/>
        <w:rPr>
          <w:rStyle w:val="FontStyle54"/>
          <w:rFonts w:ascii="Times New Roman" w:hAnsi="Times New Roman" w:cs="Times New Roman"/>
          <w:b/>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С.1 Системы контроля</w:t>
      </w:r>
    </w:p>
    <w:p w:rsidR="00E7633B" w:rsidRPr="00E7633B" w:rsidRDefault="00E7633B" w:rsidP="00E7633B">
      <w:pPr>
        <w:pStyle w:val="Style15"/>
        <w:widowControl/>
        <w:ind w:firstLine="567"/>
        <w:rPr>
          <w:rStyle w:val="FontStyle54"/>
          <w:rFonts w:ascii="Times New Roman" w:hAnsi="Times New Roman" w:cs="Times New Roman"/>
          <w:sz w:val="24"/>
          <w:lang w:val="kk-KZ" w:eastAsia="en-US"/>
        </w:rPr>
      </w:pPr>
      <w:r w:rsidRPr="00E7633B">
        <w:rPr>
          <w:rStyle w:val="FontStyle54"/>
          <w:rFonts w:ascii="Times New Roman" w:hAnsi="Times New Roman" w:cs="Times New Roman"/>
          <w:sz w:val="24"/>
          <w:lang w:val="kk-KZ" w:eastAsia="en-US"/>
        </w:rPr>
        <w:t>В таблице С.1 приведены руководящие принципы по системам наблюдения, используемым для приготовления и распределения диализирующего раствора. Рекомендации, приведенные в таблице С.1, могут быть использованы в качестве отправной точки для разработки программы управления качеством диализной жидкости, если изготовитель или поставщик системы не предоставляет соответствующих инструкций. Не все пункты, перечисленные в таблице С.1, будут необходимы во всех отделениях диализа и частота наблюдения может отличаться в зависимости от характера воды, подаваемой в диализное учреждение; например, обеззараживается ли вода с помощью хлорамина или нет. Фактическая программа управления качеством для данного объекта будет зависеть от компонентов, используемых в системе очистки воды этого объекта, целей, для которых должны использоваться жидкости, результатов процедур валидации и любых применимых местных нормативных актов.</w:t>
      </w:r>
    </w:p>
    <w:p w:rsidR="00E7633B" w:rsidRPr="00E7633B" w:rsidRDefault="00E7633B" w:rsidP="00E7633B">
      <w:pPr>
        <w:pStyle w:val="Style15"/>
        <w:widowControl/>
        <w:ind w:firstLine="567"/>
        <w:rPr>
          <w:rStyle w:val="FontStyle54"/>
          <w:rFonts w:ascii="Times New Roman" w:hAnsi="Times New Roman" w:cs="Times New Roman"/>
          <w:b/>
          <w:sz w:val="24"/>
          <w:lang w:val="kk-KZ" w:eastAsia="en-US"/>
        </w:rPr>
      </w:pPr>
    </w:p>
    <w:p w:rsidR="00E7633B" w:rsidRPr="00E7633B" w:rsidRDefault="00E7633B" w:rsidP="00E7633B">
      <w:pPr>
        <w:pStyle w:val="Style15"/>
        <w:widowControl/>
        <w:ind w:firstLine="567"/>
        <w:rPr>
          <w:rStyle w:val="FontStyle54"/>
          <w:rFonts w:ascii="Times New Roman" w:hAnsi="Times New Roman" w:cs="Times New Roman"/>
          <w:sz w:val="20"/>
          <w:szCs w:val="20"/>
          <w:highlight w:val="yellow"/>
          <w:lang w:val="kk-KZ" w:eastAsia="en-US"/>
        </w:rPr>
      </w:pPr>
      <w:r w:rsidRPr="00E7633B">
        <w:rPr>
          <w:rStyle w:val="FontStyle54"/>
          <w:rFonts w:ascii="Times New Roman" w:hAnsi="Times New Roman" w:cs="Times New Roman"/>
          <w:sz w:val="20"/>
          <w:szCs w:val="20"/>
          <w:lang w:val="kk-KZ" w:eastAsia="en-US"/>
        </w:rPr>
        <w:t xml:space="preserve">Примечание – См. сноски </w:t>
      </w:r>
      <w:r w:rsidRPr="00E7633B">
        <w:rPr>
          <w:rStyle w:val="FontStyle54"/>
          <w:rFonts w:ascii="Times New Roman" w:hAnsi="Times New Roman" w:cs="Times New Roman"/>
          <w:sz w:val="20"/>
          <w:szCs w:val="20"/>
          <w:vertAlign w:val="superscript"/>
          <w:lang w:val="kk-KZ" w:eastAsia="en-US"/>
        </w:rPr>
        <w:t>а</w:t>
      </w:r>
      <w:r w:rsidRPr="00E7633B">
        <w:rPr>
          <w:rStyle w:val="FontStyle54"/>
          <w:rFonts w:ascii="Times New Roman" w:hAnsi="Times New Roman" w:cs="Times New Roman"/>
          <w:sz w:val="20"/>
          <w:szCs w:val="20"/>
          <w:lang w:val="kk-KZ" w:eastAsia="en-US"/>
        </w:rPr>
        <w:t xml:space="preserve"> и </w:t>
      </w:r>
      <w:r w:rsidRPr="00E7633B">
        <w:rPr>
          <w:rStyle w:val="FontStyle54"/>
          <w:rFonts w:ascii="Times New Roman" w:hAnsi="Times New Roman" w:cs="Times New Roman"/>
          <w:sz w:val="20"/>
          <w:szCs w:val="20"/>
          <w:vertAlign w:val="superscript"/>
          <w:lang w:val="kk-KZ" w:eastAsia="en-US"/>
        </w:rPr>
        <w:t>b</w:t>
      </w:r>
      <w:r w:rsidRPr="00E7633B">
        <w:rPr>
          <w:rStyle w:val="FontStyle54"/>
          <w:rFonts w:ascii="Times New Roman" w:hAnsi="Times New Roman" w:cs="Times New Roman"/>
          <w:sz w:val="20"/>
          <w:szCs w:val="20"/>
          <w:lang w:val="kk-KZ" w:eastAsia="en-US"/>
        </w:rPr>
        <w:t xml:space="preserve"> для объяснения использования Xs в столбце «Типичный диапазон значений».</w:t>
      </w:r>
    </w:p>
    <w:p w:rsidR="00D07674" w:rsidRDefault="00D07674" w:rsidP="00E7633B">
      <w:pPr>
        <w:pStyle w:val="Style15"/>
        <w:widowControl/>
        <w:ind w:firstLine="0"/>
        <w:rPr>
          <w:rStyle w:val="FontStyle54"/>
          <w:rFonts w:ascii="Times New Roman" w:hAnsi="Times New Roman" w:cs="Times New Roman"/>
          <w:b/>
          <w:sz w:val="24"/>
          <w:highlight w:val="yellow"/>
          <w:lang w:val="kk-KZ" w:eastAsia="en-US"/>
        </w:rPr>
      </w:pPr>
    </w:p>
    <w:p w:rsidR="00E7633B" w:rsidRDefault="00E7633B" w:rsidP="00E7633B">
      <w:pPr>
        <w:pStyle w:val="Style15"/>
        <w:widowControl/>
        <w:ind w:firstLine="0"/>
        <w:jc w:val="center"/>
        <w:rPr>
          <w:rStyle w:val="FontStyle54"/>
          <w:rFonts w:ascii="Times New Roman" w:hAnsi="Times New Roman" w:cs="Times New Roman"/>
          <w:b/>
          <w:sz w:val="24"/>
          <w:lang w:val="kk-KZ" w:eastAsia="en-US"/>
        </w:rPr>
      </w:pPr>
      <w:r w:rsidRPr="00E7633B">
        <w:rPr>
          <w:rStyle w:val="FontStyle54"/>
          <w:rFonts w:ascii="Times New Roman" w:hAnsi="Times New Roman" w:cs="Times New Roman"/>
          <w:b/>
          <w:sz w:val="24"/>
          <w:lang w:val="kk-KZ" w:eastAsia="en-US"/>
        </w:rPr>
        <w:t xml:space="preserve">Таблица С.1 </w:t>
      </w:r>
      <w:r>
        <w:rPr>
          <w:rStyle w:val="FontStyle54"/>
          <w:rFonts w:ascii="Times New Roman" w:hAnsi="Times New Roman" w:cs="Times New Roman"/>
          <w:b/>
          <w:sz w:val="24"/>
          <w:lang w:val="kk-KZ" w:eastAsia="en-US"/>
        </w:rPr>
        <w:t>–</w:t>
      </w:r>
      <w:r w:rsidRPr="00E7633B">
        <w:rPr>
          <w:rStyle w:val="FontStyle54"/>
          <w:rFonts w:ascii="Times New Roman" w:hAnsi="Times New Roman" w:cs="Times New Roman"/>
          <w:b/>
          <w:sz w:val="24"/>
          <w:lang w:val="kk-KZ" w:eastAsia="en-US"/>
        </w:rPr>
        <w:t xml:space="preserve"> Предлагаемая структура для контроля оборудования для водоподготовки, распределительных систем и диализирующего раствора</w:t>
      </w:r>
    </w:p>
    <w:tbl>
      <w:tblPr>
        <w:tblW w:w="9639" w:type="dxa"/>
        <w:tblInd w:w="40" w:type="dxa"/>
        <w:tblLayout w:type="fixed"/>
        <w:tblCellMar>
          <w:left w:w="40" w:type="dxa"/>
          <w:right w:w="40" w:type="dxa"/>
        </w:tblCellMar>
        <w:tblLook w:val="0000" w:firstRow="0" w:lastRow="0" w:firstColumn="0" w:lastColumn="0" w:noHBand="0" w:noVBand="0"/>
      </w:tblPr>
      <w:tblGrid>
        <w:gridCol w:w="1680"/>
        <w:gridCol w:w="2289"/>
        <w:gridCol w:w="1985"/>
        <w:gridCol w:w="1843"/>
        <w:gridCol w:w="1701"/>
        <w:gridCol w:w="141"/>
      </w:tblGrid>
      <w:tr w:rsidR="00E7633B" w:rsidRPr="00E7633B" w:rsidTr="0091328B">
        <w:trPr>
          <w:gridAfter w:val="1"/>
          <w:wAfter w:w="141" w:type="dxa"/>
          <w:trHeight w:val="823"/>
        </w:trPr>
        <w:tc>
          <w:tcPr>
            <w:tcW w:w="1680"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Элемент  для мониторинга</w:t>
            </w:r>
          </w:p>
        </w:tc>
        <w:tc>
          <w:tcPr>
            <w:tcW w:w="2289"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Что контролируется</w:t>
            </w:r>
          </w:p>
        </w:tc>
        <w:tc>
          <w:tcPr>
            <w:tcW w:w="1985"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диапазон значений</w:t>
            </w:r>
          </w:p>
        </w:tc>
        <w:tc>
          <w:tcPr>
            <w:tcW w:w="1843"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интервал</w:t>
            </w:r>
          </w:p>
        </w:tc>
        <w:tc>
          <w:tcPr>
            <w:tcW w:w="1701" w:type="dxa"/>
            <w:tcBorders>
              <w:top w:val="single" w:sz="6"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E7633B"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Pr>
                <w:rFonts w:eastAsia="Calibri"/>
                <w:sz w:val="24"/>
                <w:szCs w:val="24"/>
                <w:lang w:eastAsia="en-US"/>
              </w:rPr>
              <w:t xml:space="preserve">Осадочный </w:t>
            </w:r>
            <w:r w:rsidRPr="00E7633B">
              <w:rPr>
                <w:rFonts w:eastAsia="Calibri"/>
                <w:sz w:val="24"/>
                <w:szCs w:val="24"/>
                <w:lang w:eastAsia="en-US"/>
              </w:rPr>
              <w:t>фильтр</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Перепад давления  на фильтре (см. 7.3.2)</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Падение давления менее XXXX</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Неприменимо</w:t>
            </w:r>
          </w:p>
        </w:tc>
      </w:tr>
      <w:tr w:rsidR="00E7633B" w:rsidRPr="00E7633B"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Цикл обратной промывки осадочного фильтра</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Настройка таймера цикла обратной промывки (см. 7.3.2)</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Часы  обратной  промывки установлены на XX:XX</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Неприменимо</w:t>
            </w:r>
          </w:p>
        </w:tc>
      </w:tr>
      <w:tr w:rsidR="00E7633B" w:rsidRPr="00E7633B"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Картриджный фильтр</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Перепад давления  на фильтре (см. 7.3.3)</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Падение давления менее XXXX</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Неприменимо</w:t>
            </w:r>
          </w:p>
        </w:tc>
      </w:tr>
      <w:tr w:rsidR="00E7633B" w:rsidRPr="00E7633B"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Умягчитель воды</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Остаточная жесткость очищенной воды (см. 7.3.4)</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Твердость определяется изготовителем оборудования для обратного осмоса.</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ind w:firstLine="0"/>
              <w:rPr>
                <w:rFonts w:eastAsia="Calibri"/>
                <w:sz w:val="24"/>
                <w:szCs w:val="24"/>
                <w:lang w:eastAsia="en-US"/>
              </w:rPr>
            </w:pPr>
            <w:r w:rsidRPr="00E7633B">
              <w:rPr>
                <w:rFonts w:eastAsia="Calibri"/>
                <w:sz w:val="24"/>
                <w:szCs w:val="24"/>
                <w:lang w:eastAsia="en-US"/>
              </w:rPr>
              <w:t>Неприменимо</w:t>
            </w:r>
          </w:p>
        </w:tc>
      </w:tr>
      <w:tr w:rsidR="00E7633B" w:rsidRPr="00E7633B" w:rsidTr="0091328B">
        <w:trPr>
          <w:gridAfter w:val="1"/>
          <w:wAfter w:w="141" w:type="dxa"/>
        </w:trPr>
        <w:tc>
          <w:tcPr>
            <w:tcW w:w="1680"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Емкость для солевого раствора умягчителя воды</w:t>
            </w:r>
          </w:p>
        </w:tc>
        <w:tc>
          <w:tcPr>
            <w:tcW w:w="2289"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Уровень нерастворенной соли в резервуаре (см. 7.3.4)</w:t>
            </w:r>
          </w:p>
        </w:tc>
        <w:tc>
          <w:tcPr>
            <w:tcW w:w="1985"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Уровень соли в XXX</w:t>
            </w:r>
          </w:p>
        </w:tc>
        <w:tc>
          <w:tcPr>
            <w:tcW w:w="1843"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w:t>
            </w:r>
          </w:p>
        </w:tc>
        <w:tc>
          <w:tcPr>
            <w:tcW w:w="1701" w:type="dxa"/>
            <w:tcBorders>
              <w:top w:val="single" w:sz="6" w:space="0" w:color="auto"/>
              <w:left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E7633B" w:rsidTr="0091328B">
        <w:trPr>
          <w:gridAfter w:val="1"/>
          <w:wAfter w:w="141" w:type="dxa"/>
        </w:trPr>
        <w:tc>
          <w:tcPr>
            <w:tcW w:w="9498" w:type="dxa"/>
            <w:gridSpan w:val="5"/>
            <w:tcBorders>
              <w:bottom w:val="single" w:sz="4" w:space="0" w:color="auto"/>
            </w:tcBorders>
          </w:tcPr>
          <w:p w:rsidR="00E7633B" w:rsidRPr="00E7633B" w:rsidRDefault="00E7633B" w:rsidP="00E7633B">
            <w:pPr>
              <w:widowControl/>
              <w:autoSpaceDE/>
              <w:autoSpaceDN/>
              <w:adjustRightInd/>
              <w:spacing w:after="120"/>
              <w:ind w:firstLine="0"/>
              <w:jc w:val="center"/>
              <w:rPr>
                <w:rFonts w:eastAsia="Arial"/>
                <w:i/>
                <w:sz w:val="24"/>
                <w:szCs w:val="24"/>
                <w:lang w:eastAsia="en-US"/>
              </w:rPr>
            </w:pPr>
            <w:r>
              <w:rPr>
                <w:rFonts w:eastAsia="Arial"/>
                <w:i/>
                <w:sz w:val="24"/>
                <w:szCs w:val="24"/>
                <w:lang w:eastAsia="en-US"/>
              </w:rPr>
              <w:lastRenderedPageBreak/>
              <w:t>Продолжение</w:t>
            </w:r>
            <w:r w:rsidRPr="00E7633B">
              <w:rPr>
                <w:rFonts w:eastAsia="Arial"/>
                <w:i/>
                <w:sz w:val="24"/>
                <w:szCs w:val="24"/>
                <w:lang w:eastAsia="en-US"/>
              </w:rPr>
              <w:t xml:space="preserve"> таблицы С.1</w:t>
            </w:r>
          </w:p>
        </w:tc>
      </w:tr>
      <w:tr w:rsidR="00E7633B" w:rsidRPr="00E7633B" w:rsidTr="0091328B">
        <w:trPr>
          <w:gridAfter w:val="1"/>
          <w:wAfter w:w="141" w:type="dxa"/>
          <w:trHeight w:val="823"/>
        </w:trPr>
        <w:tc>
          <w:tcPr>
            <w:tcW w:w="1680"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Элемент  для мониторинга</w:t>
            </w:r>
          </w:p>
        </w:tc>
        <w:tc>
          <w:tcPr>
            <w:tcW w:w="2289"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Что контролируется</w:t>
            </w:r>
          </w:p>
        </w:tc>
        <w:tc>
          <w:tcPr>
            <w:tcW w:w="1985"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диапазон значений</w:t>
            </w:r>
          </w:p>
        </w:tc>
        <w:tc>
          <w:tcPr>
            <w:tcW w:w="1843"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интервал</w:t>
            </w:r>
          </w:p>
        </w:tc>
        <w:tc>
          <w:tcPr>
            <w:tcW w:w="1701"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E7633B"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Цикл регенерации умягчителя воды</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Настройка таймера цикла регенерации (см. 7.3.4)</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Таймер цикла регенерации установлен на XX: XX</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Углеродные слои</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Очищенная вода общий хлор между слоями (см. 7.3.5)</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&lt;0,1 мг/л общего хлора</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Перед каждой сменой пациента, если хлорамин присутствует в питательной воде в дозе 1 мг/л или более (см. 7.3.5 для исключений из этих типичных интервалов). (Обратите внимание, что использование онлайн-монитора может обеспечить непрерывный контроль и позволит избежать необходимости автономного контроля)</w:t>
            </w:r>
          </w:p>
        </w:tc>
      </w:tr>
      <w:tr w:rsidR="00E7633B" w:rsidRPr="00AD7A6D"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Система впрыска химических веществ</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Уровень химического вещества в резервуаре, функция инжектора, значение управляющего параметра (например, рН) (см- 7.3.6)</w:t>
            </w:r>
          </w:p>
        </w:tc>
        <w:tc>
          <w:tcPr>
            <w:tcW w:w="1985" w:type="dxa"/>
            <w:tcBorders>
              <w:top w:val="single" w:sz="6" w:space="0" w:color="auto"/>
              <w:left w:val="single" w:sz="6" w:space="0" w:color="auto"/>
              <w:bottom w:val="single" w:sz="6" w:space="0" w:color="auto"/>
              <w:right w:val="single" w:sz="6" w:space="0" w:color="auto"/>
            </w:tcBorders>
          </w:tcPr>
          <w:p w:rsid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Химический уровень в резервуаре s XXX; контролирующий параметр в диапазоне от XX до XX</w:t>
            </w:r>
          </w:p>
          <w:p w:rsidR="00E7633B" w:rsidRDefault="00E7633B" w:rsidP="00E7633B">
            <w:pPr>
              <w:widowControl/>
              <w:autoSpaceDE/>
              <w:autoSpaceDN/>
              <w:adjustRightInd/>
              <w:spacing w:after="120"/>
              <w:ind w:firstLine="0"/>
              <w:rPr>
                <w:rFonts w:eastAsia="Arial"/>
                <w:sz w:val="24"/>
                <w:szCs w:val="24"/>
                <w:lang w:eastAsia="en-US"/>
              </w:rPr>
            </w:pPr>
          </w:p>
          <w:p w:rsidR="00E7633B" w:rsidRDefault="00E7633B" w:rsidP="00E7633B">
            <w:pPr>
              <w:widowControl/>
              <w:autoSpaceDE/>
              <w:autoSpaceDN/>
              <w:adjustRightInd/>
              <w:spacing w:after="120"/>
              <w:ind w:firstLine="0"/>
              <w:rPr>
                <w:rFonts w:eastAsia="Arial"/>
                <w:sz w:val="24"/>
                <w:szCs w:val="24"/>
                <w:lang w:eastAsia="en-US"/>
              </w:rPr>
            </w:pPr>
          </w:p>
          <w:p w:rsidR="00E7633B" w:rsidRDefault="00E7633B" w:rsidP="00E7633B">
            <w:pPr>
              <w:widowControl/>
              <w:autoSpaceDE/>
              <w:autoSpaceDN/>
              <w:adjustRightInd/>
              <w:spacing w:after="120"/>
              <w:ind w:firstLine="0"/>
              <w:rPr>
                <w:rFonts w:eastAsia="Arial"/>
                <w:sz w:val="24"/>
                <w:szCs w:val="24"/>
                <w:lang w:eastAsia="en-US"/>
              </w:rPr>
            </w:pPr>
          </w:p>
          <w:p w:rsidR="00E7633B" w:rsidRPr="00E7633B" w:rsidRDefault="00E7633B" w:rsidP="00E7633B">
            <w:pPr>
              <w:widowControl/>
              <w:autoSpaceDE/>
              <w:autoSpaceDN/>
              <w:adjustRightInd/>
              <w:spacing w:after="120"/>
              <w:ind w:firstLine="0"/>
              <w:rPr>
                <w:rFonts w:eastAsia="Arial"/>
                <w:sz w:val="24"/>
                <w:szCs w:val="24"/>
                <w:lang w:eastAsia="en-US"/>
              </w:rPr>
            </w:pP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 (предпочтителен непрерывный контроль)</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E7633B" w:rsidTr="0091328B">
        <w:trPr>
          <w:gridAfter w:val="1"/>
          <w:wAfter w:w="141" w:type="dxa"/>
        </w:trPr>
        <w:tc>
          <w:tcPr>
            <w:tcW w:w="9498" w:type="dxa"/>
            <w:gridSpan w:val="5"/>
            <w:tcBorders>
              <w:bottom w:val="single" w:sz="4" w:space="0" w:color="auto"/>
            </w:tcBorders>
          </w:tcPr>
          <w:p w:rsidR="00E7633B" w:rsidRPr="00E7633B" w:rsidRDefault="00E7633B" w:rsidP="00E7633B">
            <w:pPr>
              <w:widowControl/>
              <w:autoSpaceDE/>
              <w:autoSpaceDN/>
              <w:adjustRightInd/>
              <w:spacing w:after="120"/>
              <w:ind w:firstLine="0"/>
              <w:jc w:val="center"/>
              <w:rPr>
                <w:rFonts w:eastAsia="Arial"/>
                <w:i/>
                <w:sz w:val="24"/>
                <w:szCs w:val="24"/>
                <w:lang w:eastAsia="en-US"/>
              </w:rPr>
            </w:pPr>
            <w:r>
              <w:rPr>
                <w:rFonts w:eastAsia="Arial"/>
                <w:i/>
                <w:sz w:val="24"/>
                <w:szCs w:val="24"/>
                <w:lang w:eastAsia="en-US"/>
              </w:rPr>
              <w:lastRenderedPageBreak/>
              <w:t>Продолжение</w:t>
            </w:r>
            <w:r w:rsidRPr="00E7633B">
              <w:rPr>
                <w:rFonts w:eastAsia="Arial"/>
                <w:i/>
                <w:sz w:val="24"/>
                <w:szCs w:val="24"/>
                <w:lang w:eastAsia="en-US"/>
              </w:rPr>
              <w:t xml:space="preserve"> таблицы С.1</w:t>
            </w:r>
          </w:p>
        </w:tc>
      </w:tr>
      <w:tr w:rsidR="00E7633B" w:rsidRPr="00E7633B" w:rsidTr="0091328B">
        <w:trPr>
          <w:gridAfter w:val="1"/>
          <w:wAfter w:w="141" w:type="dxa"/>
          <w:trHeight w:val="823"/>
        </w:trPr>
        <w:tc>
          <w:tcPr>
            <w:tcW w:w="1680"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Элемент  для мониторинга</w:t>
            </w:r>
          </w:p>
        </w:tc>
        <w:tc>
          <w:tcPr>
            <w:tcW w:w="2289"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Что контролируется</w:t>
            </w:r>
          </w:p>
        </w:tc>
        <w:tc>
          <w:tcPr>
            <w:tcW w:w="1985"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диапазон значений</w:t>
            </w:r>
          </w:p>
        </w:tc>
        <w:tc>
          <w:tcPr>
            <w:tcW w:w="1843"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интервал</w:t>
            </w:r>
          </w:p>
        </w:tc>
        <w:tc>
          <w:tcPr>
            <w:tcW w:w="1701"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AD7A6D"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Обратный осмос</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Проводимость очищенной воды, общее количество растворенных твердых веществ (TDS) или удельное сопротивление и расчетное отклонение (см. 7.3.7)</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Отклонение ≥ XX %</w:t>
            </w:r>
          </w:p>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проводимость &lt; XX мкСм/</w:t>
            </w:r>
            <w:proofErr w:type="gramStart"/>
            <w:r w:rsidRPr="00E7633B">
              <w:rPr>
                <w:rFonts w:eastAsia="Arial"/>
                <w:sz w:val="24"/>
                <w:szCs w:val="24"/>
                <w:lang w:eastAsia="en-US"/>
              </w:rPr>
              <w:t>см</w:t>
            </w:r>
            <w:proofErr w:type="gramEnd"/>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 (предпочтителен непрерывный контроль)</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Обратный осмос</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Расход продукта и отбраковки, а также расчетное восстановление (см. 7.3.7)</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Расход очищенной воды &gt; Х</w:t>
            </w:r>
            <w:proofErr w:type="gramStart"/>
            <w:r w:rsidRPr="00E7633B">
              <w:rPr>
                <w:rFonts w:eastAsia="Arial"/>
                <w:sz w:val="24"/>
                <w:szCs w:val="24"/>
                <w:lang w:eastAsia="en-US"/>
              </w:rPr>
              <w:t>,Х</w:t>
            </w:r>
            <w:proofErr w:type="gramEnd"/>
            <w:r w:rsidRPr="00E7633B">
              <w:rPr>
                <w:rFonts w:eastAsia="Arial"/>
                <w:sz w:val="24"/>
                <w:szCs w:val="24"/>
                <w:lang w:eastAsia="en-US"/>
              </w:rPr>
              <w:t xml:space="preserve"> л/мин</w:t>
            </w:r>
          </w:p>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XX % &lt; восстановление &lt; XX %</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 (предпочтителен непрерывный контроль)</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Деионизаторы</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Сопротивление или проводимость очищенной воды (см. 7 3.8)</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Сопротивление &gt; 1 МОм-см</w:t>
            </w:r>
          </w:p>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проводимость &gt; 1 мкСм/</w:t>
            </w:r>
            <w:proofErr w:type="gramStart"/>
            <w:r w:rsidRPr="00E7633B">
              <w:rPr>
                <w:rFonts w:eastAsia="Arial"/>
                <w:sz w:val="24"/>
                <w:szCs w:val="24"/>
                <w:lang w:eastAsia="en-US"/>
              </w:rPr>
              <w:t>см</w:t>
            </w:r>
            <w:proofErr w:type="gramEnd"/>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Непрерывный контроль</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Pr>
        <w:tc>
          <w:tcPr>
            <w:tcW w:w="1680"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Эндотоксиновые фильтры</w:t>
            </w:r>
          </w:p>
        </w:tc>
        <w:tc>
          <w:tcPr>
            <w:tcW w:w="2289"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Перепад давления на фильтре при фиксированном расходе или расходе очищенной воды при фиксированном перепаде давления (</w:t>
            </w:r>
            <w:proofErr w:type="gramStart"/>
            <w:r w:rsidRPr="00E7633B">
              <w:rPr>
                <w:rFonts w:eastAsia="Arial"/>
                <w:sz w:val="24"/>
                <w:szCs w:val="24"/>
                <w:lang w:eastAsia="en-US"/>
              </w:rPr>
              <w:t>см</w:t>
            </w:r>
            <w:proofErr w:type="gramEnd"/>
            <w:r w:rsidRPr="00E7633B">
              <w:rPr>
                <w:rFonts w:eastAsia="Arial"/>
                <w:sz w:val="24"/>
                <w:szCs w:val="24"/>
                <w:lang w:eastAsia="en-US"/>
              </w:rPr>
              <w:t xml:space="preserve"> 7.3.9)</w:t>
            </w:r>
          </w:p>
        </w:tc>
        <w:tc>
          <w:tcPr>
            <w:tcW w:w="1985"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Падение давления менее ХХХХ или расход потока больше чем XXX</w:t>
            </w:r>
          </w:p>
        </w:tc>
        <w:tc>
          <w:tcPr>
            <w:tcW w:w="1843"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Ежедневно</w:t>
            </w:r>
          </w:p>
        </w:tc>
        <w:tc>
          <w:tcPr>
            <w:tcW w:w="1701" w:type="dxa"/>
            <w:tcBorders>
              <w:top w:val="single" w:sz="6" w:space="0" w:color="auto"/>
              <w:left w:val="single" w:sz="6" w:space="0" w:color="auto"/>
              <w:bottom w:val="single" w:sz="6"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Height w:val="3668"/>
        </w:trPr>
        <w:tc>
          <w:tcPr>
            <w:tcW w:w="1680" w:type="dxa"/>
            <w:tcBorders>
              <w:top w:val="single" w:sz="6" w:space="0" w:color="auto"/>
              <w:left w:val="single" w:sz="6" w:space="0" w:color="auto"/>
              <w:bottom w:val="single" w:sz="4"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Химические загрязнители системы водоснабжения</w:t>
            </w:r>
          </w:p>
        </w:tc>
        <w:tc>
          <w:tcPr>
            <w:tcW w:w="2289" w:type="dxa"/>
            <w:tcBorders>
              <w:top w:val="single" w:sz="6" w:space="0" w:color="auto"/>
              <w:left w:val="single" w:sz="6" w:space="0" w:color="auto"/>
              <w:bottom w:val="single" w:sz="4"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Химические загрязнители, приведены в таблицах 1 и 2 ISO 23500-3</w:t>
            </w:r>
          </w:p>
        </w:tc>
        <w:tc>
          <w:tcPr>
            <w:tcW w:w="1985" w:type="dxa"/>
            <w:tcBorders>
              <w:top w:val="single" w:sz="6"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 xml:space="preserve">Максимумы, как указано в таблицах 1 и 2 Параметры, подлежащие мониторингу, должны быть определены в процессе валидации на основе ожидаемых загрязняющих </w:t>
            </w:r>
          </w:p>
        </w:tc>
        <w:tc>
          <w:tcPr>
            <w:tcW w:w="1843" w:type="dxa"/>
            <w:tcBorders>
              <w:top w:val="single" w:sz="6" w:space="0" w:color="auto"/>
              <w:left w:val="single" w:sz="6" w:space="0" w:color="auto"/>
              <w:bottom w:val="single" w:sz="4" w:space="0" w:color="auto"/>
              <w:right w:val="single" w:sz="6" w:space="0" w:color="auto"/>
            </w:tcBorders>
          </w:tcPr>
          <w:p w:rsidR="00E7633B" w:rsidRPr="00E7633B" w:rsidRDefault="00E7633B" w:rsidP="00E7633B">
            <w:pPr>
              <w:widowControl/>
              <w:autoSpaceDE/>
              <w:autoSpaceDN/>
              <w:adjustRightInd/>
              <w:spacing w:after="120"/>
              <w:ind w:firstLine="0"/>
              <w:rPr>
                <w:rFonts w:eastAsia="Arial"/>
                <w:sz w:val="24"/>
                <w:szCs w:val="24"/>
                <w:lang w:eastAsia="en-US"/>
              </w:rPr>
            </w:pPr>
            <w:r w:rsidRPr="00E7633B">
              <w:rPr>
                <w:rFonts w:eastAsia="Arial"/>
                <w:sz w:val="24"/>
                <w:szCs w:val="24"/>
                <w:lang w:eastAsia="en-US"/>
              </w:rPr>
              <w:t>Ежегодно</w:t>
            </w:r>
          </w:p>
        </w:tc>
        <w:tc>
          <w:tcPr>
            <w:tcW w:w="1701" w:type="dxa"/>
            <w:tcBorders>
              <w:top w:val="single" w:sz="6"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Эти рекомендации применимы к воде для диализа</w:t>
            </w:r>
            <w:proofErr w:type="gramStart"/>
            <w:r w:rsidRPr="00E7633B">
              <w:rPr>
                <w:rFonts w:eastAsia="Arial"/>
                <w:sz w:val="24"/>
                <w:szCs w:val="24"/>
                <w:lang w:eastAsia="en-US"/>
              </w:rPr>
              <w:t xml:space="preserve"> О</w:t>
            </w:r>
            <w:proofErr w:type="gramEnd"/>
            <w:r w:rsidRPr="00E7633B">
              <w:rPr>
                <w:rFonts w:eastAsia="Arial"/>
                <w:sz w:val="24"/>
                <w:szCs w:val="24"/>
                <w:lang w:eastAsia="en-US"/>
              </w:rPr>
              <w:t xml:space="preserve">днако химический анализ исходной воды (или результаты анализа от поставщика </w:t>
            </w:r>
          </w:p>
        </w:tc>
      </w:tr>
      <w:tr w:rsidR="00E7633B" w:rsidRPr="00E7633B" w:rsidTr="0091328B">
        <w:trPr>
          <w:gridAfter w:val="1"/>
          <w:wAfter w:w="141" w:type="dxa"/>
        </w:trPr>
        <w:tc>
          <w:tcPr>
            <w:tcW w:w="9498" w:type="dxa"/>
            <w:gridSpan w:val="5"/>
            <w:tcBorders>
              <w:bottom w:val="single" w:sz="4" w:space="0" w:color="auto"/>
            </w:tcBorders>
          </w:tcPr>
          <w:p w:rsidR="00E7633B" w:rsidRPr="00E7633B" w:rsidRDefault="00E7633B" w:rsidP="00E7633B">
            <w:pPr>
              <w:widowControl/>
              <w:autoSpaceDE/>
              <w:autoSpaceDN/>
              <w:adjustRightInd/>
              <w:spacing w:after="120"/>
              <w:ind w:firstLine="0"/>
              <w:jc w:val="center"/>
              <w:rPr>
                <w:rFonts w:eastAsia="Arial"/>
                <w:i/>
                <w:sz w:val="24"/>
                <w:szCs w:val="24"/>
                <w:lang w:eastAsia="en-US"/>
              </w:rPr>
            </w:pPr>
            <w:r>
              <w:rPr>
                <w:rFonts w:eastAsia="Arial"/>
                <w:i/>
                <w:sz w:val="24"/>
                <w:szCs w:val="24"/>
                <w:lang w:eastAsia="en-US"/>
              </w:rPr>
              <w:lastRenderedPageBreak/>
              <w:t>Продолжение</w:t>
            </w:r>
            <w:r w:rsidRPr="00E7633B">
              <w:rPr>
                <w:rFonts w:eastAsia="Arial"/>
                <w:i/>
                <w:sz w:val="24"/>
                <w:szCs w:val="24"/>
                <w:lang w:eastAsia="en-US"/>
              </w:rPr>
              <w:t xml:space="preserve"> таблицы С.1</w:t>
            </w:r>
          </w:p>
        </w:tc>
      </w:tr>
      <w:tr w:rsidR="00E7633B" w:rsidRPr="00E7633B" w:rsidTr="0091328B">
        <w:trPr>
          <w:gridAfter w:val="1"/>
          <w:wAfter w:w="141" w:type="dxa"/>
          <w:trHeight w:val="823"/>
        </w:trPr>
        <w:tc>
          <w:tcPr>
            <w:tcW w:w="1680"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Элемент  для мониторинга</w:t>
            </w:r>
          </w:p>
        </w:tc>
        <w:tc>
          <w:tcPr>
            <w:tcW w:w="2289"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Что контролируется</w:t>
            </w:r>
          </w:p>
        </w:tc>
        <w:tc>
          <w:tcPr>
            <w:tcW w:w="1985"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диапазон значений</w:t>
            </w:r>
          </w:p>
        </w:tc>
        <w:tc>
          <w:tcPr>
            <w:tcW w:w="1843"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интервал</w:t>
            </w:r>
          </w:p>
        </w:tc>
        <w:tc>
          <w:tcPr>
            <w:tcW w:w="1701" w:type="dxa"/>
            <w:tcBorders>
              <w:top w:val="single" w:sz="4" w:space="0" w:color="auto"/>
              <w:left w:val="single" w:sz="6" w:space="0" w:color="auto"/>
              <w:bottom w:val="double" w:sz="4" w:space="0" w:color="auto"/>
              <w:right w:val="single" w:sz="6" w:space="0" w:color="auto"/>
            </w:tcBorders>
          </w:tcPr>
          <w:p w:rsidR="00E7633B" w:rsidRPr="00E7633B" w:rsidRDefault="00E7633B" w:rsidP="00E7633B">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rPr>
                <w:rFonts w:eastAsia="Arial"/>
                <w:sz w:val="24"/>
                <w:szCs w:val="24"/>
                <w:lang w:eastAsia="en-US"/>
              </w:rPr>
            </w:pPr>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rPr>
                <w:rFonts w:eastAsia="Arial"/>
                <w:sz w:val="24"/>
                <w:szCs w:val="24"/>
                <w:lang w:eastAsia="en-US"/>
              </w:rPr>
            </w:pP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веществ.</w:t>
            </w: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rPr>
                <w:rFonts w:eastAsia="Arial"/>
                <w:sz w:val="24"/>
                <w:szCs w:val="24"/>
                <w:lang w:eastAsia="en-US"/>
              </w:rPr>
            </w:pP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 xml:space="preserve">воды) </w:t>
            </w:r>
            <w:proofErr w:type="gramStart"/>
            <w:r w:rsidRPr="00E7633B">
              <w:rPr>
                <w:rFonts w:eastAsia="Arial"/>
                <w:sz w:val="24"/>
                <w:szCs w:val="24"/>
                <w:lang w:eastAsia="en-US"/>
              </w:rPr>
              <w:t>необходим</w:t>
            </w:r>
            <w:proofErr w:type="gramEnd"/>
            <w:r w:rsidRPr="00E7633B">
              <w:rPr>
                <w:rFonts w:eastAsia="Arial"/>
                <w:sz w:val="24"/>
                <w:szCs w:val="24"/>
                <w:lang w:eastAsia="en-US"/>
              </w:rPr>
              <w:t xml:space="preserve"> для оценки общей производительности системы водоподготовки.</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Емкости для хранения воды для диализа</w:t>
            </w:r>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Бактериальный рост и эндотоксины (см. пункт 8)</w:t>
            </w: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Общее количество жизнеспособных микроорганизмов &lt; уровень действия (обычно 50 КОЕ/мл); (см. 4.2.4)</w:t>
            </w:r>
          </w:p>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Эндотоксины &lt; уровень действия (обычно 0.125 ЕЭ/мл); (см. 4.2.4)</w:t>
            </w: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Ежемесячно или в соответствии с результатами процесса валидации резервуаров для хранения, снабжающих центральную систему подачи диализирующего раствора</w:t>
            </w: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 xml:space="preserve">Специальные испытания в этом месте проводятся для устранения загрязнения распределительной системы резервуаров, подключенных к системе водораспределительных трубопроводов, до тех пор, пока не будет </w:t>
            </w:r>
            <w:proofErr w:type="gramStart"/>
            <w:r w:rsidRPr="00E7633B">
              <w:rPr>
                <w:rFonts w:eastAsia="Arial"/>
                <w:sz w:val="24"/>
                <w:szCs w:val="24"/>
                <w:lang w:eastAsia="en-US"/>
              </w:rPr>
              <w:t>продемонстрирова на</w:t>
            </w:r>
            <w:proofErr w:type="gramEnd"/>
            <w:r w:rsidRPr="00E7633B">
              <w:rPr>
                <w:rFonts w:eastAsia="Arial"/>
                <w:sz w:val="24"/>
                <w:szCs w:val="24"/>
                <w:lang w:eastAsia="en-US"/>
              </w:rPr>
              <w:t xml:space="preserve"> модель последовательного соответствия предельным значениям.</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Водопроводная система распределения воды</w:t>
            </w:r>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Бактериальный рост и эндотоксины (</w:t>
            </w:r>
            <w:proofErr w:type="gramStart"/>
            <w:r w:rsidRPr="00E7633B">
              <w:rPr>
                <w:rFonts w:eastAsia="Arial"/>
                <w:sz w:val="24"/>
                <w:szCs w:val="24"/>
                <w:lang w:eastAsia="en-US"/>
              </w:rPr>
              <w:t>см</w:t>
            </w:r>
            <w:proofErr w:type="gramEnd"/>
            <w:r w:rsidRPr="00E7633B">
              <w:rPr>
                <w:rFonts w:eastAsia="Arial"/>
                <w:sz w:val="24"/>
                <w:szCs w:val="24"/>
                <w:lang w:eastAsia="en-US"/>
              </w:rPr>
              <w:t xml:space="preserve"> 7.4)</w:t>
            </w: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Общее количество жизнеспособных микроорганизмов &lt; уровень действия (обычно 50 КОЕ/мл); (см. 4.2.4)</w:t>
            </w:r>
          </w:p>
          <w:p w:rsidR="00E7633B" w:rsidRDefault="00E7633B" w:rsidP="00E7633B">
            <w:pPr>
              <w:spacing w:after="120"/>
              <w:ind w:firstLine="0"/>
              <w:rPr>
                <w:rFonts w:eastAsia="Arial"/>
                <w:sz w:val="24"/>
                <w:szCs w:val="24"/>
                <w:lang w:eastAsia="en-US"/>
              </w:rPr>
            </w:pPr>
            <w:r w:rsidRPr="00E7633B">
              <w:rPr>
                <w:rFonts w:eastAsia="Arial"/>
                <w:sz w:val="24"/>
                <w:szCs w:val="24"/>
                <w:lang w:eastAsia="en-US"/>
              </w:rPr>
              <w:t>Эндотоксины &lt; уровень действия (обычно 0,125 ЕЭ/мл), (см. 4.2.4)</w:t>
            </w:r>
          </w:p>
          <w:p w:rsidR="0091328B" w:rsidRPr="00E7633B" w:rsidRDefault="0091328B" w:rsidP="00E7633B">
            <w:pPr>
              <w:spacing w:after="120"/>
              <w:ind w:firstLine="0"/>
              <w:rPr>
                <w:rFonts w:eastAsia="Arial"/>
                <w:sz w:val="24"/>
                <w:szCs w:val="24"/>
                <w:lang w:eastAsia="en-US"/>
              </w:rPr>
            </w:pP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Ежемесячно или в соответствии с результатами процесса валидации</w:t>
            </w: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Неприменимо</w:t>
            </w:r>
          </w:p>
        </w:tc>
      </w:tr>
      <w:tr w:rsidR="0091328B" w:rsidRPr="00E7633B" w:rsidTr="0091328B">
        <w:trPr>
          <w:gridAfter w:val="1"/>
          <w:wAfter w:w="141" w:type="dxa"/>
        </w:trPr>
        <w:tc>
          <w:tcPr>
            <w:tcW w:w="9498" w:type="dxa"/>
            <w:gridSpan w:val="5"/>
            <w:tcBorders>
              <w:bottom w:val="single" w:sz="4" w:space="0" w:color="auto"/>
            </w:tcBorders>
          </w:tcPr>
          <w:p w:rsidR="0091328B" w:rsidRPr="00E7633B" w:rsidRDefault="0091328B" w:rsidP="00E758BC">
            <w:pPr>
              <w:widowControl/>
              <w:autoSpaceDE/>
              <w:autoSpaceDN/>
              <w:adjustRightInd/>
              <w:spacing w:after="120"/>
              <w:ind w:firstLine="0"/>
              <w:jc w:val="center"/>
              <w:rPr>
                <w:rFonts w:eastAsia="Arial"/>
                <w:i/>
                <w:sz w:val="24"/>
                <w:szCs w:val="24"/>
                <w:lang w:eastAsia="en-US"/>
              </w:rPr>
            </w:pPr>
            <w:r>
              <w:rPr>
                <w:rFonts w:eastAsia="Arial"/>
                <w:i/>
                <w:sz w:val="24"/>
                <w:szCs w:val="24"/>
                <w:lang w:eastAsia="en-US"/>
              </w:rPr>
              <w:lastRenderedPageBreak/>
              <w:t>Продолжение</w:t>
            </w:r>
            <w:r w:rsidRPr="00E7633B">
              <w:rPr>
                <w:rFonts w:eastAsia="Arial"/>
                <w:i/>
                <w:sz w:val="24"/>
                <w:szCs w:val="24"/>
                <w:lang w:eastAsia="en-US"/>
              </w:rPr>
              <w:t xml:space="preserve"> таблицы С.1</w:t>
            </w:r>
          </w:p>
        </w:tc>
      </w:tr>
      <w:tr w:rsidR="0091328B" w:rsidRPr="00E7633B" w:rsidTr="0091328B">
        <w:trPr>
          <w:gridAfter w:val="1"/>
          <w:wAfter w:w="141" w:type="dxa"/>
          <w:trHeight w:val="823"/>
        </w:trPr>
        <w:tc>
          <w:tcPr>
            <w:tcW w:w="1680"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Элемент  для мониторинга</w:t>
            </w:r>
          </w:p>
        </w:tc>
        <w:tc>
          <w:tcPr>
            <w:tcW w:w="2289"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Что контролируется</w:t>
            </w:r>
          </w:p>
        </w:tc>
        <w:tc>
          <w:tcPr>
            <w:tcW w:w="1985"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диапазон значений</w:t>
            </w:r>
          </w:p>
        </w:tc>
        <w:tc>
          <w:tcPr>
            <w:tcW w:w="1843"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интервал</w:t>
            </w:r>
          </w:p>
        </w:tc>
        <w:tc>
          <w:tcPr>
            <w:tcW w:w="1701"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proofErr w:type="gramStart"/>
            <w:r w:rsidRPr="00E7633B">
              <w:rPr>
                <w:rFonts w:eastAsia="Arial"/>
                <w:sz w:val="24"/>
                <w:szCs w:val="24"/>
                <w:lang w:eastAsia="en-US"/>
              </w:rPr>
              <w:t>УФ-излучатели</w:t>
            </w:r>
            <w:proofErr w:type="gramEnd"/>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91328B">
            <w:pPr>
              <w:spacing w:after="120"/>
              <w:ind w:firstLine="0"/>
              <w:rPr>
                <w:rFonts w:eastAsia="Arial"/>
                <w:sz w:val="24"/>
                <w:szCs w:val="24"/>
                <w:lang w:eastAsia="en-US"/>
              </w:rPr>
            </w:pPr>
            <w:r w:rsidRPr="00E7633B">
              <w:rPr>
                <w:rFonts w:eastAsia="Arial"/>
                <w:sz w:val="24"/>
                <w:szCs w:val="24"/>
                <w:lang w:eastAsia="en-US"/>
              </w:rPr>
              <w:t>Выходная энергия и/или срок службы лампы (см. пункт 7.4.3.1)</w:t>
            </w: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Световой поток &gt; XXX</w:t>
            </w:r>
          </w:p>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Срок службы лампы &lt; XXXX</w:t>
            </w: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Ежемесячно</w:t>
            </w: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Генератор озона</w:t>
            </w:r>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Концентрация в воде и время контакта (см. 7 4.3.2)</w:t>
            </w: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Концентрация озона &gt; XXX</w:t>
            </w:r>
          </w:p>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Время контакта &gt; XXX</w:t>
            </w:r>
          </w:p>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Остаточный озон после дезинфекции &lt; X.XX мг/л</w:t>
            </w: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Во время каждой дезинфекции</w:t>
            </w: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Системы дезинфекции горячей водой</w:t>
            </w:r>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Температура и время воздействия горячей воды на систему (</w:t>
            </w:r>
            <w:proofErr w:type="gramStart"/>
            <w:r w:rsidRPr="00E7633B">
              <w:rPr>
                <w:rFonts w:eastAsia="Arial"/>
                <w:sz w:val="24"/>
                <w:szCs w:val="24"/>
                <w:lang w:eastAsia="en-US"/>
              </w:rPr>
              <w:t>см</w:t>
            </w:r>
            <w:proofErr w:type="gramEnd"/>
            <w:r w:rsidRPr="00E7633B">
              <w:rPr>
                <w:rFonts w:eastAsia="Arial"/>
                <w:sz w:val="24"/>
                <w:szCs w:val="24"/>
                <w:lang w:eastAsia="en-US"/>
              </w:rPr>
              <w:t xml:space="preserve"> пункт 7 4.3.3)</w:t>
            </w: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Температуру не меньше, чем на XX X, минимальное время выдержки при температуре &gt; XX мин</w:t>
            </w: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Во время каждой дезинфекции</w:t>
            </w: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Эта информация может быть доступна из журналов данных автоматизированных систем</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Системы химической дезинфекции</w:t>
            </w:r>
          </w:p>
        </w:tc>
        <w:tc>
          <w:tcPr>
            <w:tcW w:w="2289"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Концентрация бактерицида в воде и время контакта</w:t>
            </w:r>
          </w:p>
        </w:tc>
        <w:tc>
          <w:tcPr>
            <w:tcW w:w="1985"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Концентрация бактерицида &gt; Х</w:t>
            </w:r>
            <w:proofErr w:type="gramStart"/>
            <w:r w:rsidRPr="00E7633B">
              <w:rPr>
                <w:rFonts w:eastAsia="Arial"/>
                <w:sz w:val="24"/>
                <w:szCs w:val="24"/>
                <w:lang w:eastAsia="en-US"/>
              </w:rPr>
              <w:t>,Х</w:t>
            </w:r>
            <w:proofErr w:type="gramEnd"/>
            <w:r w:rsidRPr="00E7633B">
              <w:rPr>
                <w:rFonts w:eastAsia="Arial"/>
                <w:sz w:val="24"/>
                <w:szCs w:val="24"/>
                <w:lang w:eastAsia="en-US"/>
              </w:rPr>
              <w:t xml:space="preserve"> мг/л. остаточная концентрация бактерицида &lt; Х.ХХ мг/л после промывки</w:t>
            </w:r>
          </w:p>
        </w:tc>
        <w:tc>
          <w:tcPr>
            <w:tcW w:w="1843"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Во время каждой дезинфекции</w:t>
            </w:r>
          </w:p>
        </w:tc>
        <w:tc>
          <w:tcPr>
            <w:tcW w:w="1701" w:type="dxa"/>
            <w:tcBorders>
              <w:top w:val="single" w:sz="4" w:space="0" w:color="auto"/>
              <w:left w:val="single" w:sz="6" w:space="0" w:color="auto"/>
              <w:bottom w:val="single" w:sz="6"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Неприменимо</w:t>
            </w:r>
          </w:p>
        </w:tc>
      </w:tr>
      <w:tr w:rsidR="00E7633B" w:rsidRPr="00AD7A6D" w:rsidTr="0091328B">
        <w:trPr>
          <w:gridAfter w:val="1"/>
          <w:wAfter w:w="141" w:type="dxa"/>
          <w:trHeight w:val="326"/>
        </w:trPr>
        <w:tc>
          <w:tcPr>
            <w:tcW w:w="1680" w:type="dxa"/>
            <w:tcBorders>
              <w:top w:val="single" w:sz="4"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Диализирующий раствор</w:t>
            </w:r>
          </w:p>
        </w:tc>
        <w:tc>
          <w:tcPr>
            <w:tcW w:w="2289" w:type="dxa"/>
            <w:tcBorders>
              <w:top w:val="single" w:sz="4"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Проводимость, рН, концентрация электролитов</w:t>
            </w:r>
          </w:p>
        </w:tc>
        <w:tc>
          <w:tcPr>
            <w:tcW w:w="1985" w:type="dxa"/>
            <w:tcBorders>
              <w:top w:val="single" w:sz="4"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ХХ</w:t>
            </w:r>
            <w:proofErr w:type="gramStart"/>
            <w:r w:rsidRPr="00E7633B">
              <w:rPr>
                <w:rFonts w:eastAsia="Arial"/>
                <w:sz w:val="24"/>
                <w:szCs w:val="24"/>
                <w:lang w:eastAsia="en-US"/>
              </w:rPr>
              <w:t>.Х</w:t>
            </w:r>
            <w:proofErr w:type="gramEnd"/>
            <w:r w:rsidRPr="00E7633B">
              <w:rPr>
                <w:rFonts w:eastAsia="Arial"/>
                <w:sz w:val="24"/>
                <w:szCs w:val="24"/>
                <w:lang w:eastAsia="en-US"/>
              </w:rPr>
              <w:t xml:space="preserve"> мСм/см &lt; электропроводности &lt; XX,X мСм/см</w:t>
            </w:r>
          </w:p>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 xml:space="preserve">рН в диапазоне от 6,9 до 8,0 для диализирующего раствора, </w:t>
            </w:r>
            <w:proofErr w:type="gramStart"/>
            <w:r w:rsidRPr="00E7633B">
              <w:rPr>
                <w:rFonts w:eastAsia="Arial"/>
                <w:sz w:val="24"/>
                <w:szCs w:val="24"/>
                <w:lang w:eastAsia="en-US"/>
              </w:rPr>
              <w:t>содержащей</w:t>
            </w:r>
            <w:proofErr w:type="gramEnd"/>
            <w:r w:rsidRPr="00E7633B">
              <w:rPr>
                <w:rFonts w:eastAsia="Arial"/>
                <w:sz w:val="24"/>
                <w:szCs w:val="24"/>
                <w:lang w:eastAsia="en-US"/>
              </w:rPr>
              <w:t xml:space="preserve"> бикарбонат, или иным образом указанным изготовителем</w:t>
            </w:r>
          </w:p>
        </w:tc>
        <w:tc>
          <w:tcPr>
            <w:tcW w:w="1843" w:type="dxa"/>
            <w:tcBorders>
              <w:top w:val="single" w:sz="4"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 xml:space="preserve">В соответствии с местными правилами или в соответствии с указаниями изготовителя системы подачи диализирующего раствора (непрерывный </w:t>
            </w:r>
            <w:proofErr w:type="gramStart"/>
            <w:r w:rsidRPr="00E7633B">
              <w:rPr>
                <w:rFonts w:eastAsia="Arial"/>
                <w:sz w:val="24"/>
                <w:szCs w:val="24"/>
                <w:lang w:eastAsia="en-US"/>
              </w:rPr>
              <w:t>контроль за</w:t>
            </w:r>
            <w:proofErr w:type="gramEnd"/>
            <w:r w:rsidRPr="00E7633B">
              <w:rPr>
                <w:rFonts w:eastAsia="Arial"/>
                <w:sz w:val="24"/>
                <w:szCs w:val="24"/>
                <w:lang w:eastAsia="en-US"/>
              </w:rPr>
              <w:t xml:space="preserve"> системами дозирования)</w:t>
            </w:r>
          </w:p>
        </w:tc>
        <w:tc>
          <w:tcPr>
            <w:tcW w:w="1701" w:type="dxa"/>
            <w:tcBorders>
              <w:top w:val="single" w:sz="4" w:space="0" w:color="auto"/>
              <w:left w:val="single" w:sz="6" w:space="0" w:color="auto"/>
              <w:bottom w:val="single" w:sz="4" w:space="0" w:color="auto"/>
              <w:right w:val="single" w:sz="6" w:space="0" w:color="auto"/>
            </w:tcBorders>
          </w:tcPr>
          <w:p w:rsidR="00E7633B" w:rsidRPr="00E7633B" w:rsidRDefault="00E7633B" w:rsidP="00E7633B">
            <w:pPr>
              <w:spacing w:after="120"/>
              <w:ind w:firstLine="0"/>
              <w:rPr>
                <w:rFonts w:eastAsia="Arial"/>
                <w:sz w:val="24"/>
                <w:szCs w:val="24"/>
                <w:lang w:eastAsia="en-US"/>
              </w:rPr>
            </w:pPr>
            <w:r w:rsidRPr="00E7633B">
              <w:rPr>
                <w:rFonts w:eastAsia="Arial"/>
                <w:sz w:val="24"/>
                <w:szCs w:val="24"/>
                <w:lang w:eastAsia="en-US"/>
              </w:rPr>
              <w:t>Контроль рН необходим только в том случае, если он рекомендован изготовителем системы доставки диализирующего раствора.</w:t>
            </w:r>
          </w:p>
        </w:tc>
      </w:tr>
      <w:tr w:rsidR="0091328B" w:rsidRPr="00E7633B" w:rsidTr="00E758BC">
        <w:trPr>
          <w:gridAfter w:val="1"/>
          <w:wAfter w:w="141" w:type="dxa"/>
        </w:trPr>
        <w:tc>
          <w:tcPr>
            <w:tcW w:w="9498" w:type="dxa"/>
            <w:gridSpan w:val="5"/>
            <w:tcBorders>
              <w:bottom w:val="single" w:sz="4" w:space="0" w:color="auto"/>
            </w:tcBorders>
          </w:tcPr>
          <w:p w:rsidR="0091328B" w:rsidRPr="00E7633B" w:rsidRDefault="0091328B" w:rsidP="00E758BC">
            <w:pPr>
              <w:widowControl/>
              <w:autoSpaceDE/>
              <w:autoSpaceDN/>
              <w:adjustRightInd/>
              <w:spacing w:after="120"/>
              <w:ind w:firstLine="0"/>
              <w:jc w:val="center"/>
              <w:rPr>
                <w:rFonts w:eastAsia="Arial"/>
                <w:i/>
                <w:sz w:val="24"/>
                <w:szCs w:val="24"/>
                <w:lang w:eastAsia="en-US"/>
              </w:rPr>
            </w:pPr>
            <w:r>
              <w:rPr>
                <w:rFonts w:eastAsia="Arial"/>
                <w:i/>
                <w:sz w:val="24"/>
                <w:szCs w:val="24"/>
                <w:lang w:eastAsia="en-US"/>
              </w:rPr>
              <w:lastRenderedPageBreak/>
              <w:t>Окончание</w:t>
            </w:r>
            <w:r w:rsidRPr="00E7633B">
              <w:rPr>
                <w:rFonts w:eastAsia="Arial"/>
                <w:i/>
                <w:sz w:val="24"/>
                <w:szCs w:val="24"/>
                <w:lang w:eastAsia="en-US"/>
              </w:rPr>
              <w:t xml:space="preserve"> таблицы С.1</w:t>
            </w:r>
          </w:p>
        </w:tc>
      </w:tr>
      <w:tr w:rsidR="0091328B" w:rsidRPr="00E7633B" w:rsidTr="00E758BC">
        <w:trPr>
          <w:gridAfter w:val="1"/>
          <w:wAfter w:w="141" w:type="dxa"/>
          <w:trHeight w:val="823"/>
        </w:trPr>
        <w:tc>
          <w:tcPr>
            <w:tcW w:w="1680"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Элемент  для мониторинга</w:t>
            </w:r>
          </w:p>
        </w:tc>
        <w:tc>
          <w:tcPr>
            <w:tcW w:w="2289"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Что контролируется</w:t>
            </w:r>
          </w:p>
        </w:tc>
        <w:tc>
          <w:tcPr>
            <w:tcW w:w="1985"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диапазон значений</w:t>
            </w:r>
          </w:p>
        </w:tc>
        <w:tc>
          <w:tcPr>
            <w:tcW w:w="1843"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Типичный интервал</w:t>
            </w:r>
          </w:p>
        </w:tc>
        <w:tc>
          <w:tcPr>
            <w:tcW w:w="1701" w:type="dxa"/>
            <w:tcBorders>
              <w:top w:val="single" w:sz="4" w:space="0" w:color="auto"/>
              <w:left w:val="single" w:sz="6" w:space="0" w:color="auto"/>
              <w:bottom w:val="double" w:sz="4" w:space="0" w:color="auto"/>
              <w:right w:val="single" w:sz="6" w:space="0" w:color="auto"/>
            </w:tcBorders>
          </w:tcPr>
          <w:p w:rsidR="0091328B" w:rsidRPr="00E7633B" w:rsidRDefault="0091328B" w:rsidP="00E758BC">
            <w:pPr>
              <w:widowControl/>
              <w:autoSpaceDE/>
              <w:autoSpaceDN/>
              <w:adjustRightInd/>
              <w:ind w:firstLine="0"/>
              <w:jc w:val="center"/>
              <w:rPr>
                <w:rFonts w:eastAsia="Calibri"/>
                <w:b/>
                <w:sz w:val="24"/>
                <w:szCs w:val="24"/>
                <w:lang w:eastAsia="en-US"/>
              </w:rPr>
            </w:pPr>
            <w:r w:rsidRPr="00E7633B">
              <w:rPr>
                <w:rFonts w:eastAsia="Calibri"/>
                <w:b/>
                <w:sz w:val="24"/>
                <w:szCs w:val="24"/>
                <w:lang w:eastAsia="en-US"/>
              </w:rPr>
              <w:t>Комментарии</w:t>
            </w:r>
          </w:p>
        </w:tc>
      </w:tr>
      <w:tr w:rsidR="0091328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Стандартный диализирующий раствор</w:t>
            </w:r>
          </w:p>
        </w:tc>
        <w:tc>
          <w:tcPr>
            <w:tcW w:w="2289"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Бактериальный рост и концентрация эндотоксинов в стандартном диализирующем растворе (см. 4.4.2)</w:t>
            </w:r>
          </w:p>
        </w:tc>
        <w:tc>
          <w:tcPr>
            <w:tcW w:w="1985"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Общее количество жизнеспособных микроорганизмов &lt; уровень действия (обычно 50 КОЕ/мл); (см. 4.4.2)</w:t>
            </w:r>
          </w:p>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Эндотоксины &lt; уровень действия (обычно 0,25 ЕЭ/мл); (см. 4.4.2)</w:t>
            </w:r>
          </w:p>
        </w:tc>
        <w:tc>
          <w:tcPr>
            <w:tcW w:w="1843"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Ежемесячно, вращаясь между аппаратами, так что каждый аппарат испытывался по крайней мере один раз в год и различные аппараты отбираются в каждом случае</w:t>
            </w:r>
          </w:p>
        </w:tc>
        <w:tc>
          <w:tcPr>
            <w:tcW w:w="1701"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Образец должен быть собран в наихудшее время (например, в понедельник утром), если это возможно.</w:t>
            </w:r>
          </w:p>
        </w:tc>
      </w:tr>
      <w:tr w:rsidR="0091328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Ультрачистый диализирующий раствор</w:t>
            </w:r>
          </w:p>
        </w:tc>
        <w:tc>
          <w:tcPr>
            <w:tcW w:w="2289"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Бактериальный рост и эндотоксины в ультрачистом диализирующем растворе по мере его поступления в диализатор (см. 4.4.3)</w:t>
            </w:r>
          </w:p>
        </w:tc>
        <w:tc>
          <w:tcPr>
            <w:tcW w:w="1985"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Общее количество жизнеспособных микроорганизмов &lt; 0,1 КОЕ/мл; эндотоксины &lt; 0,03 ЕЭ/мл (см. 4.4.3) (см 8.3.1 и приложение)</w:t>
            </w:r>
          </w:p>
        </w:tc>
        <w:tc>
          <w:tcPr>
            <w:tcW w:w="1843"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 xml:space="preserve">См. сноску </w:t>
            </w:r>
            <w:r w:rsidRPr="0091328B">
              <w:rPr>
                <w:rFonts w:eastAsia="Arial"/>
                <w:sz w:val="24"/>
                <w:szCs w:val="24"/>
                <w:vertAlign w:val="superscript"/>
                <w:lang w:eastAsia="en-US"/>
              </w:rPr>
              <w:t>b</w:t>
            </w:r>
          </w:p>
        </w:tc>
        <w:tc>
          <w:tcPr>
            <w:tcW w:w="1701"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Неприменимо</w:t>
            </w:r>
          </w:p>
        </w:tc>
      </w:tr>
      <w:tr w:rsidR="0091328B" w:rsidRPr="00AD7A6D" w:rsidTr="0091328B">
        <w:trPr>
          <w:gridAfter w:val="1"/>
          <w:wAfter w:w="141" w:type="dxa"/>
          <w:trHeight w:val="326"/>
        </w:trPr>
        <w:tc>
          <w:tcPr>
            <w:tcW w:w="1680"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Замещающий раствор</w:t>
            </w:r>
          </w:p>
        </w:tc>
        <w:tc>
          <w:tcPr>
            <w:tcW w:w="2289"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Бактериальный рост и эндотоксины в ультрачистом диализирующем растворе по мере его поступления в диализатор (см. 8.3.1 и приложение Е)</w:t>
            </w:r>
          </w:p>
        </w:tc>
        <w:tc>
          <w:tcPr>
            <w:tcW w:w="1985"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proofErr w:type="gramStart"/>
            <w:r w:rsidRPr="0091328B">
              <w:rPr>
                <w:rFonts w:eastAsia="Arial"/>
                <w:sz w:val="24"/>
                <w:szCs w:val="24"/>
                <w:lang w:eastAsia="en-US"/>
              </w:rPr>
              <w:t>Стерильные</w:t>
            </w:r>
            <w:proofErr w:type="gramEnd"/>
            <w:r w:rsidRPr="0091328B">
              <w:rPr>
                <w:rFonts w:eastAsia="Arial"/>
                <w:sz w:val="24"/>
                <w:szCs w:val="24"/>
                <w:lang w:eastAsia="en-US"/>
              </w:rPr>
              <w:t xml:space="preserve"> и апирогенные (см. пункт 8.3.1 и приложение Е)</w:t>
            </w:r>
          </w:p>
        </w:tc>
        <w:tc>
          <w:tcPr>
            <w:tcW w:w="1843"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 xml:space="preserve">См. сноску </w:t>
            </w:r>
            <w:r w:rsidRPr="0091328B">
              <w:rPr>
                <w:rFonts w:eastAsia="Arial"/>
                <w:sz w:val="24"/>
                <w:szCs w:val="24"/>
                <w:vertAlign w:val="superscript"/>
                <w:lang w:eastAsia="en-US"/>
              </w:rPr>
              <w:t>b</w:t>
            </w:r>
          </w:p>
        </w:tc>
        <w:tc>
          <w:tcPr>
            <w:tcW w:w="1701" w:type="dxa"/>
            <w:tcBorders>
              <w:top w:val="single" w:sz="4" w:space="0" w:color="auto"/>
              <w:left w:val="single" w:sz="6" w:space="0" w:color="auto"/>
              <w:bottom w:val="single" w:sz="6" w:space="0" w:color="auto"/>
              <w:right w:val="single" w:sz="6" w:space="0" w:color="auto"/>
            </w:tcBorders>
          </w:tcPr>
          <w:p w:rsidR="0091328B" w:rsidRPr="0091328B" w:rsidRDefault="0091328B" w:rsidP="0091328B">
            <w:pPr>
              <w:spacing w:after="120"/>
              <w:ind w:firstLine="0"/>
              <w:rPr>
                <w:rFonts w:eastAsia="Arial"/>
                <w:sz w:val="24"/>
                <w:szCs w:val="24"/>
                <w:lang w:eastAsia="en-US"/>
              </w:rPr>
            </w:pPr>
            <w:r w:rsidRPr="0091328B">
              <w:rPr>
                <w:rFonts w:eastAsia="Arial"/>
                <w:sz w:val="24"/>
                <w:szCs w:val="24"/>
                <w:lang w:eastAsia="en-US"/>
              </w:rPr>
              <w:t>Неприменимо</w:t>
            </w:r>
          </w:p>
        </w:tc>
      </w:tr>
      <w:tr w:rsidR="0091328B" w:rsidRPr="00AD7A6D" w:rsidTr="009132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rsidR="0091328B" w:rsidRPr="0091328B" w:rsidRDefault="0091328B" w:rsidP="00E758BC">
            <w:pPr>
              <w:spacing w:after="120"/>
              <w:rPr>
                <w:rFonts w:eastAsia="Arial"/>
              </w:rPr>
            </w:pPr>
            <w:r w:rsidRPr="0091328B">
              <w:rPr>
                <w:rFonts w:eastAsia="Arial"/>
                <w:vertAlign w:val="superscript"/>
              </w:rPr>
              <w:t>а</w:t>
            </w:r>
            <w:r w:rsidRPr="0091328B">
              <w:rPr>
                <w:rFonts w:eastAsia="Arial"/>
              </w:rPr>
              <w:t xml:space="preserve"> Невозможно указать универсально приемлемые рабочие диапазоны для каждого устройства, указанного в таблице, поскольку некоторые характеристики будут специфичны для конкретной системы. В этих случаях отделение диализа должно определить приемлемый рабочий диапазон на основе инструкций изготовителя или измерений производительности системы.</w:t>
            </w:r>
          </w:p>
          <w:p w:rsidR="0091328B" w:rsidRPr="00AD7A6D" w:rsidRDefault="0091328B" w:rsidP="0091328B">
            <w:pPr>
              <w:spacing w:after="120"/>
              <w:rPr>
                <w:rFonts w:asciiTheme="majorHAnsi" w:eastAsia="Arial" w:hAnsiTheme="majorHAnsi"/>
                <w:sz w:val="16"/>
                <w:szCs w:val="16"/>
              </w:rPr>
            </w:pPr>
            <w:r w:rsidRPr="0091328B">
              <w:rPr>
                <w:rFonts w:eastAsia="Arial"/>
                <w:vertAlign w:val="superscript"/>
              </w:rPr>
              <w:t>b</w:t>
            </w:r>
            <w:r w:rsidRPr="0091328B">
              <w:rPr>
                <w:rFonts w:eastAsia="Arial"/>
              </w:rPr>
              <w:t xml:space="preserve"> Фактический интервал наблюдения, тестирования, очистки и/или дезинфекции должен основываться на результатах процесса валидации и текущего анализа трендов (см. 6, 7.2.3 и 8.2.3)</w:t>
            </w:r>
          </w:p>
        </w:tc>
      </w:tr>
    </w:tbl>
    <w:p w:rsidR="00E7633B" w:rsidRPr="00E7633B" w:rsidRDefault="00E7633B" w:rsidP="00E7633B">
      <w:pPr>
        <w:pStyle w:val="Style15"/>
        <w:widowControl/>
        <w:ind w:firstLine="0"/>
        <w:jc w:val="center"/>
        <w:rPr>
          <w:rStyle w:val="FontStyle54"/>
          <w:rFonts w:ascii="Times New Roman" w:hAnsi="Times New Roman" w:cs="Times New Roman"/>
          <w:b/>
          <w:sz w:val="24"/>
          <w:highlight w:val="yellow"/>
          <w:lang w:eastAsia="en-US"/>
        </w:rPr>
      </w:pPr>
    </w:p>
    <w:p w:rsid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С.2 Методы очистки/дезинфекции</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Методы очистки/дезинфекции систем диализной очистки воды, систем хранения и распределения воды для диализа, систем распределения концентрата и систем распределения диализной жидкости приведены в таблице С.2.</w:t>
      </w:r>
    </w:p>
    <w:p w:rsidR="00D07674" w:rsidRPr="0091328B" w:rsidRDefault="0091328B" w:rsidP="0091328B">
      <w:pPr>
        <w:pStyle w:val="Style15"/>
        <w:widowControl/>
        <w:ind w:firstLine="567"/>
        <w:rPr>
          <w:rStyle w:val="FontStyle54"/>
          <w:rFonts w:ascii="Times New Roman" w:hAnsi="Times New Roman" w:cs="Times New Roman"/>
          <w:sz w:val="24"/>
          <w:highlight w:val="yellow"/>
          <w:lang w:val="kk-KZ" w:eastAsia="en-US"/>
        </w:rPr>
      </w:pPr>
      <w:r w:rsidRPr="0091328B">
        <w:rPr>
          <w:rStyle w:val="FontStyle54"/>
          <w:rFonts w:ascii="Times New Roman" w:hAnsi="Times New Roman" w:cs="Times New Roman"/>
          <w:sz w:val="24"/>
          <w:lang w:val="kk-KZ" w:eastAsia="en-US"/>
        </w:rPr>
        <w:t>Прежде чем обратиться к колонке «типичный интервал», Для получения более подробной информации обратитесь к инструкциям изготовителя.</w:t>
      </w:r>
    </w:p>
    <w:p w:rsidR="00BD5AD7" w:rsidRDefault="0091328B" w:rsidP="0091328B">
      <w:pPr>
        <w:pStyle w:val="Style15"/>
        <w:widowControl/>
        <w:ind w:firstLine="0"/>
        <w:jc w:val="center"/>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lastRenderedPageBreak/>
        <w:t>Таблица С.2</w:t>
      </w:r>
      <w:r>
        <w:rPr>
          <w:rStyle w:val="FontStyle54"/>
          <w:rFonts w:ascii="Times New Roman" w:hAnsi="Times New Roman" w:cs="Times New Roman"/>
          <w:b/>
          <w:sz w:val="24"/>
          <w:lang w:val="kk-KZ" w:eastAsia="en-US"/>
        </w:rPr>
        <w:t xml:space="preserve"> –</w:t>
      </w:r>
      <w:r w:rsidRPr="0091328B">
        <w:rPr>
          <w:rStyle w:val="FontStyle54"/>
          <w:rFonts w:ascii="Times New Roman" w:hAnsi="Times New Roman" w:cs="Times New Roman"/>
          <w:b/>
          <w:sz w:val="24"/>
          <w:lang w:val="kk-KZ" w:eastAsia="en-US"/>
        </w:rPr>
        <w:t xml:space="preserve"> Обобщенные методы очистки/дезинфекции систем водоподготовки, систем хранения и распределения воды для диализа, систем распределения концентрата и систем распределения диализной жидкости</w:t>
      </w:r>
    </w:p>
    <w:tbl>
      <w:tblPr>
        <w:tblW w:w="964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50"/>
        <w:gridCol w:w="2100"/>
        <w:gridCol w:w="10"/>
        <w:gridCol w:w="1640"/>
        <w:gridCol w:w="10"/>
        <w:gridCol w:w="1800"/>
        <w:gridCol w:w="2130"/>
      </w:tblGrid>
      <w:tr w:rsidR="0091328B" w:rsidRPr="0091328B" w:rsidTr="0091328B">
        <w:trPr>
          <w:trHeight w:val="20"/>
        </w:trPr>
        <w:tc>
          <w:tcPr>
            <w:tcW w:w="1950" w:type="dxa"/>
            <w:tcBorders>
              <w:bottom w:val="double" w:sz="4" w:space="0" w:color="auto"/>
            </w:tcBorders>
          </w:tcPr>
          <w:p w:rsidR="0091328B" w:rsidRPr="0091328B" w:rsidRDefault="0091328B" w:rsidP="0091328B">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Предмет для очистки/ дезинфекции</w:t>
            </w:r>
          </w:p>
        </w:tc>
        <w:tc>
          <w:tcPr>
            <w:tcW w:w="2110" w:type="dxa"/>
            <w:gridSpan w:val="2"/>
            <w:tcBorders>
              <w:bottom w:val="double" w:sz="4" w:space="0" w:color="auto"/>
            </w:tcBorders>
          </w:tcPr>
          <w:p w:rsidR="0091328B" w:rsidRPr="0091328B" w:rsidRDefault="0091328B" w:rsidP="0091328B">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Элемен</w:t>
            </w:r>
            <w:proofErr w:type="gramStart"/>
            <w:r w:rsidRPr="0091328B">
              <w:rPr>
                <w:rFonts w:eastAsia="Arial"/>
                <w:b/>
                <w:sz w:val="24"/>
                <w:szCs w:val="24"/>
                <w:lang w:eastAsia="en-US"/>
              </w:rPr>
              <w:t>т(</w:t>
            </w:r>
            <w:proofErr w:type="gramEnd"/>
            <w:r w:rsidRPr="0091328B">
              <w:rPr>
                <w:rFonts w:eastAsia="Arial"/>
                <w:b/>
                <w:sz w:val="24"/>
                <w:szCs w:val="24"/>
                <w:lang w:eastAsia="en-US"/>
              </w:rPr>
              <w:t>ы), подлежащий очистке/ дезинфекции</w:t>
            </w:r>
          </w:p>
        </w:tc>
        <w:tc>
          <w:tcPr>
            <w:tcW w:w="1650" w:type="dxa"/>
            <w:gridSpan w:val="2"/>
            <w:tcBorders>
              <w:bottom w:val="double" w:sz="4" w:space="0" w:color="auto"/>
            </w:tcBorders>
          </w:tcPr>
          <w:p w:rsidR="0091328B" w:rsidRPr="0091328B" w:rsidRDefault="0091328B" w:rsidP="0091328B">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Очистка/ дезинфекция</w:t>
            </w:r>
          </w:p>
        </w:tc>
        <w:tc>
          <w:tcPr>
            <w:tcW w:w="1800" w:type="dxa"/>
            <w:tcBorders>
              <w:bottom w:val="double" w:sz="4" w:space="0" w:color="auto"/>
            </w:tcBorders>
          </w:tcPr>
          <w:p w:rsidR="0091328B" w:rsidRPr="0091328B" w:rsidRDefault="0091328B" w:rsidP="0091328B">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Типичный интервал</w:t>
            </w:r>
          </w:p>
        </w:tc>
        <w:tc>
          <w:tcPr>
            <w:tcW w:w="2130" w:type="dxa"/>
            <w:tcBorders>
              <w:bottom w:val="double" w:sz="4" w:space="0" w:color="auto"/>
            </w:tcBorders>
          </w:tcPr>
          <w:p w:rsidR="0091328B" w:rsidRPr="0091328B" w:rsidRDefault="0091328B" w:rsidP="0091328B">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Комментарии</w:t>
            </w:r>
          </w:p>
        </w:tc>
      </w:tr>
      <w:tr w:rsidR="0091328B" w:rsidRPr="0091328B" w:rsidTr="0091328B">
        <w:trPr>
          <w:trHeight w:val="20"/>
        </w:trPr>
        <w:tc>
          <w:tcPr>
            <w:tcW w:w="1950" w:type="dxa"/>
            <w:tcBorders>
              <w:top w:val="double" w:sz="4" w:space="0" w:color="auto"/>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Обратный осмос</w:t>
            </w:r>
          </w:p>
        </w:tc>
        <w:tc>
          <w:tcPr>
            <w:tcW w:w="2110" w:type="dxa"/>
            <w:gridSpan w:val="2"/>
            <w:tcBorders>
              <w:top w:val="double" w:sz="4" w:space="0" w:color="auto"/>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Мембранный модуль следует дезинфицировать, уделяя особое внимание стороне продукта (см. 8.2, 8.2.1)</w:t>
            </w:r>
          </w:p>
        </w:tc>
        <w:tc>
          <w:tcPr>
            <w:tcW w:w="1650" w:type="dxa"/>
            <w:gridSpan w:val="2"/>
            <w:tcBorders>
              <w:top w:val="double" w:sz="4" w:space="0" w:color="auto"/>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w:t>
            </w:r>
          </w:p>
        </w:tc>
        <w:tc>
          <w:tcPr>
            <w:tcW w:w="1800" w:type="dxa"/>
            <w:tcBorders>
              <w:top w:val="double" w:sz="4" w:space="0" w:color="auto"/>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Ежемесячно или в соответствии с инструкциями изготовителя (см. D. 1)</w:t>
            </w:r>
          </w:p>
        </w:tc>
        <w:tc>
          <w:tcPr>
            <w:tcW w:w="2130" w:type="dxa"/>
            <w:tcBorders>
              <w:top w:val="double" w:sz="4" w:space="0" w:color="auto"/>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Рабочая сторона мембраны считается частью системы распределения воды для диализа. Ее следует дезинфицировать с интервалом, достаточным для того, чтобы регулярно производить воду для диализа, отвечающую требованиям к качеству пункта 4. (См. D.1. 3-й абзац.) При необходимости входную поверхность мембраны следует периодически очищать для удаления загрязнений, которые могут ухудшить эксплуатационные характеристики мембраны.</w:t>
            </w:r>
          </w:p>
        </w:tc>
      </w:tr>
      <w:tr w:rsidR="0091328B" w:rsidRPr="0091328B" w:rsidTr="0091328B">
        <w:trPr>
          <w:trHeight w:val="20"/>
        </w:trPr>
        <w:tc>
          <w:tcPr>
            <w:tcW w:w="1950" w:type="dxa"/>
            <w:tcBorders>
              <w:bottom w:val="nil"/>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Емкости для хранения воды</w:t>
            </w:r>
          </w:p>
        </w:tc>
        <w:tc>
          <w:tcPr>
            <w:tcW w:w="2100" w:type="dxa"/>
            <w:tcBorders>
              <w:bottom w:val="nil"/>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Емкости и трубы (см. пункт 8.2.3.2)</w:t>
            </w:r>
          </w:p>
        </w:tc>
        <w:tc>
          <w:tcPr>
            <w:tcW w:w="1650" w:type="dxa"/>
            <w:gridSpan w:val="2"/>
            <w:tcBorders>
              <w:bottom w:val="nil"/>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w:t>
            </w:r>
          </w:p>
        </w:tc>
        <w:tc>
          <w:tcPr>
            <w:tcW w:w="1810" w:type="dxa"/>
            <w:gridSpan w:val="2"/>
            <w:tcBorders>
              <w:bottom w:val="nil"/>
            </w:tcBorders>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Ежемесячно или в соответствии с инструкциями изготовителя</w:t>
            </w:r>
          </w:p>
        </w:tc>
        <w:tc>
          <w:tcPr>
            <w:tcW w:w="2130" w:type="dxa"/>
            <w:tcBorders>
              <w:bottom w:val="nil"/>
            </w:tcBorders>
          </w:tcPr>
          <w:p w:rsid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Возможно, потребуется более частая дезинфекция, если на это указывают результаты микробиологических исследований.</w:t>
            </w:r>
          </w:p>
          <w:p w:rsidR="0091328B" w:rsidRPr="0091328B" w:rsidRDefault="0091328B" w:rsidP="0091328B">
            <w:pPr>
              <w:widowControl/>
              <w:autoSpaceDE/>
              <w:autoSpaceDN/>
              <w:adjustRightInd/>
              <w:spacing w:after="120"/>
              <w:ind w:firstLine="0"/>
              <w:rPr>
                <w:rFonts w:eastAsia="Arial"/>
                <w:sz w:val="24"/>
                <w:szCs w:val="24"/>
                <w:lang w:eastAsia="en-US"/>
              </w:rPr>
            </w:pPr>
          </w:p>
        </w:tc>
      </w:tr>
      <w:tr w:rsidR="0091328B" w:rsidRPr="0091328B" w:rsidTr="0091328B">
        <w:trPr>
          <w:trHeight w:val="20"/>
        </w:trPr>
        <w:tc>
          <w:tcPr>
            <w:tcW w:w="9640" w:type="dxa"/>
            <w:gridSpan w:val="7"/>
            <w:tcBorders>
              <w:top w:val="nil"/>
              <w:left w:val="nil"/>
              <w:bottom w:val="single" w:sz="4" w:space="0" w:color="auto"/>
              <w:right w:val="nil"/>
            </w:tcBorders>
          </w:tcPr>
          <w:p w:rsidR="0091328B" w:rsidRPr="0091328B" w:rsidRDefault="0091328B" w:rsidP="0091328B">
            <w:pPr>
              <w:widowControl/>
              <w:autoSpaceDE/>
              <w:autoSpaceDN/>
              <w:adjustRightInd/>
              <w:spacing w:after="120"/>
              <w:ind w:firstLine="0"/>
              <w:jc w:val="center"/>
              <w:rPr>
                <w:rFonts w:eastAsia="Arial"/>
                <w:i/>
                <w:sz w:val="24"/>
                <w:szCs w:val="24"/>
                <w:lang w:eastAsia="en-US"/>
              </w:rPr>
            </w:pPr>
            <w:r w:rsidRPr="0091328B">
              <w:rPr>
                <w:rFonts w:eastAsia="Arial"/>
                <w:i/>
                <w:sz w:val="24"/>
                <w:szCs w:val="24"/>
                <w:lang w:eastAsia="en-US"/>
              </w:rPr>
              <w:lastRenderedPageBreak/>
              <w:t>Продолжение таблицы С.2</w:t>
            </w:r>
          </w:p>
        </w:tc>
      </w:tr>
      <w:tr w:rsidR="0091328B" w:rsidRPr="0091328B" w:rsidTr="0091328B">
        <w:trPr>
          <w:trHeight w:val="20"/>
        </w:trPr>
        <w:tc>
          <w:tcPr>
            <w:tcW w:w="1950" w:type="dxa"/>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Предмет для очистки/ дезинфекции</w:t>
            </w:r>
          </w:p>
        </w:tc>
        <w:tc>
          <w:tcPr>
            <w:tcW w:w="2110" w:type="dxa"/>
            <w:gridSpan w:val="2"/>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Элемен</w:t>
            </w:r>
            <w:proofErr w:type="gramStart"/>
            <w:r w:rsidRPr="0091328B">
              <w:rPr>
                <w:rFonts w:eastAsia="Arial"/>
                <w:b/>
                <w:sz w:val="24"/>
                <w:szCs w:val="24"/>
                <w:lang w:eastAsia="en-US"/>
              </w:rPr>
              <w:t>т(</w:t>
            </w:r>
            <w:proofErr w:type="gramEnd"/>
            <w:r w:rsidRPr="0091328B">
              <w:rPr>
                <w:rFonts w:eastAsia="Arial"/>
                <w:b/>
                <w:sz w:val="24"/>
                <w:szCs w:val="24"/>
                <w:lang w:eastAsia="en-US"/>
              </w:rPr>
              <w:t>ы), подлежащий очистке/ дезинфекции</w:t>
            </w:r>
          </w:p>
        </w:tc>
        <w:tc>
          <w:tcPr>
            <w:tcW w:w="1650" w:type="dxa"/>
            <w:gridSpan w:val="2"/>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Очистка/ дезинфекция</w:t>
            </w:r>
          </w:p>
        </w:tc>
        <w:tc>
          <w:tcPr>
            <w:tcW w:w="1800" w:type="dxa"/>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Типичный интервал</w:t>
            </w:r>
          </w:p>
        </w:tc>
        <w:tc>
          <w:tcPr>
            <w:tcW w:w="2130" w:type="dxa"/>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Комментарии</w:t>
            </w:r>
          </w:p>
        </w:tc>
      </w:tr>
      <w:tr w:rsidR="0091328B" w:rsidRPr="0091328B" w:rsidTr="00E758BC">
        <w:trPr>
          <w:trHeight w:val="20"/>
        </w:trPr>
        <w:tc>
          <w:tcPr>
            <w:tcW w:w="195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Водопроводная система распределения воды</w:t>
            </w:r>
          </w:p>
        </w:tc>
        <w:tc>
          <w:tcPr>
            <w:tcW w:w="210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Трубопроводная система (см. пункт 8.2.3.2, D.1)</w:t>
            </w:r>
          </w:p>
        </w:tc>
        <w:tc>
          <w:tcPr>
            <w:tcW w:w="165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w:t>
            </w:r>
          </w:p>
        </w:tc>
        <w:tc>
          <w:tcPr>
            <w:tcW w:w="181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Ежемесячно или в соответствии с инструкциями изготовителя</w:t>
            </w:r>
          </w:p>
        </w:tc>
        <w:tc>
          <w:tcPr>
            <w:tcW w:w="213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Возможно, потребуется более частая дезинфекция, если на это указывают результаты микробиологических исследований.</w:t>
            </w:r>
          </w:p>
        </w:tc>
      </w:tr>
      <w:tr w:rsidR="0091328B" w:rsidRPr="0091328B" w:rsidTr="00E758BC">
        <w:trPr>
          <w:trHeight w:val="20"/>
        </w:trPr>
        <w:tc>
          <w:tcPr>
            <w:tcW w:w="1950" w:type="dxa"/>
          </w:tcPr>
          <w:p w:rsidR="0091328B" w:rsidRPr="0091328B" w:rsidRDefault="0091328B" w:rsidP="0091328B">
            <w:pPr>
              <w:widowControl/>
              <w:autoSpaceDE/>
              <w:autoSpaceDN/>
              <w:adjustRightInd/>
              <w:spacing w:after="120"/>
              <w:ind w:firstLine="0"/>
              <w:rPr>
                <w:rFonts w:eastAsia="Arial"/>
                <w:sz w:val="24"/>
                <w:szCs w:val="24"/>
                <w:lang w:eastAsia="en-US"/>
              </w:rPr>
            </w:pPr>
            <w:proofErr w:type="gramStart"/>
            <w:r w:rsidRPr="0091328B">
              <w:rPr>
                <w:rFonts w:eastAsia="Arial"/>
                <w:sz w:val="24"/>
                <w:szCs w:val="24"/>
                <w:lang w:eastAsia="en-US"/>
              </w:rPr>
              <w:t>УФ-излучатели</w:t>
            </w:r>
            <w:proofErr w:type="gramEnd"/>
          </w:p>
        </w:tc>
        <w:tc>
          <w:tcPr>
            <w:tcW w:w="210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Кварцевая втулка (см. 7.4.3.1)</w:t>
            </w:r>
          </w:p>
        </w:tc>
        <w:tc>
          <w:tcPr>
            <w:tcW w:w="165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Периодическая очистка (см. пункт 7.4.3.1)</w:t>
            </w:r>
          </w:p>
        </w:tc>
        <w:tc>
          <w:tcPr>
            <w:tcW w:w="181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p>
        </w:tc>
        <w:tc>
          <w:tcPr>
            <w:tcW w:w="2130" w:type="dxa"/>
          </w:tcPr>
          <w:p w:rsidR="0091328B" w:rsidRPr="0091328B" w:rsidRDefault="0091328B" w:rsidP="0091328B">
            <w:pPr>
              <w:widowControl/>
              <w:autoSpaceDE/>
              <w:autoSpaceDN/>
              <w:adjustRightInd/>
              <w:spacing w:after="120"/>
              <w:ind w:firstLine="0"/>
              <w:rPr>
                <w:rFonts w:eastAsia="Arial"/>
                <w:sz w:val="24"/>
                <w:szCs w:val="24"/>
                <w:lang w:eastAsia="en-US"/>
              </w:rPr>
            </w:pPr>
          </w:p>
        </w:tc>
      </w:tr>
      <w:tr w:rsidR="0091328B" w:rsidRPr="0091328B" w:rsidTr="00E758BC">
        <w:trPr>
          <w:trHeight w:val="20"/>
        </w:trPr>
        <w:tc>
          <w:tcPr>
            <w:tcW w:w="195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Системы смешивания концентратов</w:t>
            </w:r>
          </w:p>
        </w:tc>
        <w:tc>
          <w:tcPr>
            <w:tcW w:w="210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Резервуары и трубопроводы (см. пункт 8.2.2.3)</w:t>
            </w:r>
          </w:p>
        </w:tc>
        <w:tc>
          <w:tcPr>
            <w:tcW w:w="165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Очистка и/или дезинфекция</w:t>
            </w:r>
          </w:p>
        </w:tc>
        <w:tc>
          <w:tcPr>
            <w:tcW w:w="181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p>
        </w:tc>
        <w:tc>
          <w:tcPr>
            <w:tcW w:w="213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 обычно не требуется для систем смешивания кислотных концентратов.</w:t>
            </w:r>
          </w:p>
        </w:tc>
      </w:tr>
      <w:tr w:rsidR="0091328B" w:rsidRPr="0091328B" w:rsidTr="00E758BC">
        <w:trPr>
          <w:trHeight w:val="20"/>
        </w:trPr>
        <w:tc>
          <w:tcPr>
            <w:tcW w:w="195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Системы распределения концентрата (бикарбонат)</w:t>
            </w:r>
          </w:p>
        </w:tc>
        <w:tc>
          <w:tcPr>
            <w:tcW w:w="210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Резервуары и трубопроводы (см. пункт 8.2.3.3, В.5.3.2)</w:t>
            </w:r>
          </w:p>
        </w:tc>
        <w:tc>
          <w:tcPr>
            <w:tcW w:w="165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w:t>
            </w:r>
          </w:p>
        </w:tc>
        <w:tc>
          <w:tcPr>
            <w:tcW w:w="181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Еженедельно (см. D.1, последний абзац)</w:t>
            </w:r>
          </w:p>
        </w:tc>
        <w:tc>
          <w:tcPr>
            <w:tcW w:w="2130" w:type="dxa"/>
          </w:tcPr>
          <w:p w:rsid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При использовании гипохлорита натрия для дезинфекции рекомендуется концентрация от 0,5 % до 1 %. При очистке уксусной кислотой рекомендуется концентрация примерно 0,15 % уксусной кислоты. (См. В.5.3.2, 4-й абзац.) Дезинфекция обычно не требуется для систем распределения кислотных концентратов.</w:t>
            </w:r>
          </w:p>
          <w:p w:rsidR="0091328B" w:rsidRDefault="0091328B" w:rsidP="0091328B">
            <w:pPr>
              <w:widowControl/>
              <w:autoSpaceDE/>
              <w:autoSpaceDN/>
              <w:adjustRightInd/>
              <w:spacing w:after="120"/>
              <w:ind w:firstLine="0"/>
              <w:rPr>
                <w:rFonts w:eastAsia="Arial"/>
                <w:sz w:val="24"/>
                <w:szCs w:val="24"/>
                <w:lang w:eastAsia="en-US"/>
              </w:rPr>
            </w:pPr>
          </w:p>
          <w:p w:rsidR="0091328B" w:rsidRPr="0091328B" w:rsidRDefault="0091328B" w:rsidP="0091328B">
            <w:pPr>
              <w:widowControl/>
              <w:autoSpaceDE/>
              <w:autoSpaceDN/>
              <w:adjustRightInd/>
              <w:spacing w:after="120"/>
              <w:ind w:firstLine="0"/>
              <w:rPr>
                <w:rFonts w:eastAsia="Arial"/>
                <w:sz w:val="24"/>
                <w:szCs w:val="24"/>
                <w:lang w:eastAsia="en-US"/>
              </w:rPr>
            </w:pPr>
          </w:p>
        </w:tc>
      </w:tr>
      <w:tr w:rsidR="0091328B" w:rsidRPr="0091328B" w:rsidTr="00E758BC">
        <w:trPr>
          <w:trHeight w:val="20"/>
        </w:trPr>
        <w:tc>
          <w:tcPr>
            <w:tcW w:w="9640" w:type="dxa"/>
            <w:gridSpan w:val="7"/>
            <w:tcBorders>
              <w:top w:val="nil"/>
              <w:left w:val="nil"/>
              <w:bottom w:val="single" w:sz="4" w:space="0" w:color="auto"/>
              <w:right w:val="nil"/>
            </w:tcBorders>
          </w:tcPr>
          <w:p w:rsidR="0091328B" w:rsidRPr="0091328B" w:rsidRDefault="0091328B" w:rsidP="00E758BC">
            <w:pPr>
              <w:widowControl/>
              <w:autoSpaceDE/>
              <w:autoSpaceDN/>
              <w:adjustRightInd/>
              <w:spacing w:after="120"/>
              <w:ind w:firstLine="0"/>
              <w:jc w:val="center"/>
              <w:rPr>
                <w:rFonts w:eastAsia="Arial"/>
                <w:i/>
                <w:sz w:val="24"/>
                <w:szCs w:val="24"/>
                <w:lang w:eastAsia="en-US"/>
              </w:rPr>
            </w:pPr>
            <w:r>
              <w:rPr>
                <w:rFonts w:eastAsia="Arial"/>
                <w:i/>
                <w:sz w:val="24"/>
                <w:szCs w:val="24"/>
                <w:lang w:eastAsia="en-US"/>
              </w:rPr>
              <w:lastRenderedPageBreak/>
              <w:t>Окончание</w:t>
            </w:r>
            <w:r w:rsidRPr="0091328B">
              <w:rPr>
                <w:rFonts w:eastAsia="Arial"/>
                <w:i/>
                <w:sz w:val="24"/>
                <w:szCs w:val="24"/>
                <w:lang w:eastAsia="en-US"/>
              </w:rPr>
              <w:t xml:space="preserve"> таблицы С.2</w:t>
            </w:r>
          </w:p>
        </w:tc>
      </w:tr>
      <w:tr w:rsidR="0091328B" w:rsidRPr="0091328B" w:rsidTr="00E758BC">
        <w:trPr>
          <w:trHeight w:val="20"/>
        </w:trPr>
        <w:tc>
          <w:tcPr>
            <w:tcW w:w="1950" w:type="dxa"/>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Предмет для очистки/ дезинфекции</w:t>
            </w:r>
          </w:p>
        </w:tc>
        <w:tc>
          <w:tcPr>
            <w:tcW w:w="2110" w:type="dxa"/>
            <w:gridSpan w:val="2"/>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Элемен</w:t>
            </w:r>
            <w:proofErr w:type="gramStart"/>
            <w:r w:rsidRPr="0091328B">
              <w:rPr>
                <w:rFonts w:eastAsia="Arial"/>
                <w:b/>
                <w:sz w:val="24"/>
                <w:szCs w:val="24"/>
                <w:lang w:eastAsia="en-US"/>
              </w:rPr>
              <w:t>т(</w:t>
            </w:r>
            <w:proofErr w:type="gramEnd"/>
            <w:r w:rsidRPr="0091328B">
              <w:rPr>
                <w:rFonts w:eastAsia="Arial"/>
                <w:b/>
                <w:sz w:val="24"/>
                <w:szCs w:val="24"/>
                <w:lang w:eastAsia="en-US"/>
              </w:rPr>
              <w:t>ы), подлежащий очистке/ дезинфекции</w:t>
            </w:r>
          </w:p>
        </w:tc>
        <w:tc>
          <w:tcPr>
            <w:tcW w:w="1650" w:type="dxa"/>
            <w:gridSpan w:val="2"/>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Очистка/ дезинфекция</w:t>
            </w:r>
          </w:p>
        </w:tc>
        <w:tc>
          <w:tcPr>
            <w:tcW w:w="1800" w:type="dxa"/>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Типичный интервал</w:t>
            </w:r>
          </w:p>
        </w:tc>
        <w:tc>
          <w:tcPr>
            <w:tcW w:w="2130" w:type="dxa"/>
            <w:tcBorders>
              <w:top w:val="single" w:sz="4" w:space="0" w:color="auto"/>
              <w:bottom w:val="double" w:sz="4" w:space="0" w:color="auto"/>
            </w:tcBorders>
          </w:tcPr>
          <w:p w:rsidR="0091328B" w:rsidRPr="0091328B" w:rsidRDefault="0091328B" w:rsidP="00E758BC">
            <w:pPr>
              <w:widowControl/>
              <w:autoSpaceDE/>
              <w:autoSpaceDN/>
              <w:adjustRightInd/>
              <w:spacing w:after="120"/>
              <w:ind w:firstLine="0"/>
              <w:jc w:val="center"/>
              <w:rPr>
                <w:rFonts w:eastAsia="Arial"/>
                <w:b/>
                <w:sz w:val="24"/>
                <w:szCs w:val="24"/>
                <w:lang w:eastAsia="en-US"/>
              </w:rPr>
            </w:pPr>
            <w:r w:rsidRPr="0091328B">
              <w:rPr>
                <w:rFonts w:eastAsia="Arial"/>
                <w:b/>
                <w:sz w:val="24"/>
                <w:szCs w:val="24"/>
                <w:lang w:eastAsia="en-US"/>
              </w:rPr>
              <w:t>Комментарии</w:t>
            </w:r>
          </w:p>
        </w:tc>
      </w:tr>
      <w:tr w:rsidR="0091328B" w:rsidRPr="0091328B" w:rsidTr="00E758BC">
        <w:trPr>
          <w:trHeight w:val="20"/>
        </w:trPr>
        <w:tc>
          <w:tcPr>
            <w:tcW w:w="195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Аппарат для диализа</w:t>
            </w:r>
          </w:p>
        </w:tc>
        <w:tc>
          <w:tcPr>
            <w:tcW w:w="211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Система (См. 8.2)</w:t>
            </w:r>
          </w:p>
        </w:tc>
        <w:tc>
          <w:tcPr>
            <w:tcW w:w="165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w:t>
            </w:r>
          </w:p>
        </w:tc>
        <w:tc>
          <w:tcPr>
            <w:tcW w:w="180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В соответствии с инструкциями изготовления</w:t>
            </w:r>
          </w:p>
        </w:tc>
        <w:tc>
          <w:tcPr>
            <w:tcW w:w="213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По собственной схеме и программе дезинфекции (см. 8.2, 3-й абзац.)</w:t>
            </w:r>
          </w:p>
        </w:tc>
      </w:tr>
      <w:tr w:rsidR="0091328B" w:rsidRPr="0091328B" w:rsidTr="00E758BC">
        <w:trPr>
          <w:trHeight w:val="20"/>
        </w:trPr>
        <w:tc>
          <w:tcPr>
            <w:tcW w:w="195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Центральная система доставки диализирующего раствора (CDDS)</w:t>
            </w:r>
          </w:p>
        </w:tc>
        <w:tc>
          <w:tcPr>
            <w:tcW w:w="211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Система доставки диализирующего раствора Индивидуальная консоль для диализа (см. В.7.2)</w:t>
            </w:r>
          </w:p>
        </w:tc>
        <w:tc>
          <w:tcPr>
            <w:tcW w:w="1650" w:type="dxa"/>
            <w:gridSpan w:val="2"/>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Дезинфекция</w:t>
            </w:r>
          </w:p>
        </w:tc>
        <w:tc>
          <w:tcPr>
            <w:tcW w:w="180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Ежедневно (См. В.7.2)</w:t>
            </w:r>
          </w:p>
        </w:tc>
        <w:tc>
          <w:tcPr>
            <w:tcW w:w="2130" w:type="dxa"/>
          </w:tcPr>
          <w:p w:rsidR="0091328B" w:rsidRPr="0091328B" w:rsidRDefault="0091328B" w:rsidP="0091328B">
            <w:pPr>
              <w:widowControl/>
              <w:autoSpaceDE/>
              <w:autoSpaceDN/>
              <w:adjustRightInd/>
              <w:spacing w:after="120"/>
              <w:ind w:firstLine="0"/>
              <w:rPr>
                <w:rFonts w:eastAsia="Arial"/>
                <w:sz w:val="24"/>
                <w:szCs w:val="24"/>
                <w:lang w:eastAsia="en-US"/>
              </w:rPr>
            </w:pPr>
            <w:r w:rsidRPr="0091328B">
              <w:rPr>
                <w:rFonts w:eastAsia="Arial"/>
                <w:sz w:val="24"/>
                <w:szCs w:val="24"/>
                <w:lang w:eastAsia="en-US"/>
              </w:rPr>
              <w:t>Используйте химическое дезинфицирующее средство или горячую воду. (См. В.7.2, 3-й абзац)</w:t>
            </w:r>
          </w:p>
        </w:tc>
      </w:tr>
      <w:tr w:rsidR="0091328B" w:rsidRPr="0091328B" w:rsidTr="00E758BC">
        <w:trPr>
          <w:trHeight w:val="20"/>
        </w:trPr>
        <w:tc>
          <w:tcPr>
            <w:tcW w:w="9640" w:type="dxa"/>
            <w:gridSpan w:val="7"/>
          </w:tcPr>
          <w:p w:rsidR="0091328B" w:rsidRPr="0091328B" w:rsidRDefault="0091328B" w:rsidP="0091328B">
            <w:pPr>
              <w:widowControl/>
              <w:autoSpaceDE/>
              <w:autoSpaceDN/>
              <w:adjustRightInd/>
              <w:spacing w:after="120"/>
              <w:ind w:firstLine="527"/>
              <w:rPr>
                <w:rFonts w:eastAsia="Arial"/>
                <w:lang w:eastAsia="en-US"/>
              </w:rPr>
            </w:pPr>
            <w:r w:rsidRPr="0091328B">
              <w:rPr>
                <w:rFonts w:eastAsia="Arial"/>
                <w:lang w:eastAsia="en-US"/>
              </w:rPr>
              <w:t>Примечание – Фактический интервал для очистки и/или дезинфекции должен основываться на результатах процесса валидации и текущего анализа трендов (см. 6 и 8.2.3).</w:t>
            </w:r>
          </w:p>
        </w:tc>
      </w:tr>
    </w:tbl>
    <w:p w:rsidR="0091328B" w:rsidRDefault="0091328B" w:rsidP="0091328B">
      <w:pPr>
        <w:pStyle w:val="Style15"/>
        <w:widowControl/>
        <w:ind w:firstLine="0"/>
        <w:rPr>
          <w:rStyle w:val="FontStyle54"/>
          <w:rFonts w:ascii="Times New Roman" w:hAnsi="Times New Roman" w:cs="Times New Roman"/>
          <w:b/>
          <w:sz w:val="24"/>
          <w:highlight w:val="yellow"/>
          <w:lang w:eastAsia="en-US"/>
        </w:rPr>
      </w:pPr>
    </w:p>
    <w:p w:rsidR="0091328B" w:rsidRPr="0091328B" w:rsidRDefault="0091328B" w:rsidP="0091328B">
      <w:pPr>
        <w:pStyle w:val="Style15"/>
        <w:widowControl/>
        <w:ind w:firstLine="0"/>
        <w:rPr>
          <w:rStyle w:val="FontStyle54"/>
          <w:rFonts w:ascii="Times New Roman" w:hAnsi="Times New Roman" w:cs="Times New Roman"/>
          <w:b/>
          <w:sz w:val="24"/>
          <w:highlight w:val="yellow"/>
          <w:lang w:eastAsia="en-US"/>
        </w:rPr>
      </w:pPr>
    </w:p>
    <w:p w:rsidR="00BD5AD7" w:rsidRDefault="00BD5AD7" w:rsidP="004636A8">
      <w:pPr>
        <w:pStyle w:val="Style15"/>
        <w:widowControl/>
        <w:ind w:firstLine="0"/>
        <w:jc w:val="center"/>
        <w:rPr>
          <w:rStyle w:val="FontStyle54"/>
          <w:rFonts w:ascii="Times New Roman" w:hAnsi="Times New Roman" w:cs="Times New Roman"/>
          <w:b/>
          <w:sz w:val="24"/>
          <w:highlight w:val="yellow"/>
          <w:lang w:val="kk-KZ" w:eastAsia="en-US"/>
        </w:rPr>
      </w:pPr>
    </w:p>
    <w:p w:rsidR="00D07674" w:rsidRDefault="00D07674"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Pr="0091328B" w:rsidRDefault="0091328B" w:rsidP="0091328B">
      <w:pPr>
        <w:pStyle w:val="Style15"/>
        <w:widowControl/>
        <w:ind w:firstLine="0"/>
        <w:jc w:val="center"/>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lastRenderedPageBreak/>
        <w:t>Приложение D</w:t>
      </w:r>
    </w:p>
    <w:p w:rsidR="0091328B" w:rsidRPr="0091328B" w:rsidRDefault="0091328B" w:rsidP="0091328B">
      <w:pPr>
        <w:pStyle w:val="Style15"/>
        <w:widowControl/>
        <w:ind w:firstLine="0"/>
        <w:jc w:val="center"/>
        <w:rPr>
          <w:rStyle w:val="FontStyle54"/>
          <w:rFonts w:ascii="Times New Roman" w:hAnsi="Times New Roman" w:cs="Times New Roman"/>
          <w:i/>
          <w:sz w:val="24"/>
          <w:lang w:val="kk-KZ" w:eastAsia="en-US"/>
        </w:rPr>
      </w:pPr>
      <w:r w:rsidRPr="0091328B">
        <w:rPr>
          <w:rStyle w:val="FontStyle54"/>
          <w:rFonts w:ascii="Times New Roman" w:hAnsi="Times New Roman" w:cs="Times New Roman"/>
          <w:i/>
          <w:sz w:val="24"/>
          <w:lang w:val="kk-KZ" w:eastAsia="en-US"/>
        </w:rPr>
        <w:t>(информационное)</w:t>
      </w:r>
    </w:p>
    <w:p w:rsidR="0091328B" w:rsidRDefault="0091328B" w:rsidP="0091328B">
      <w:pPr>
        <w:pStyle w:val="Style15"/>
        <w:widowControl/>
        <w:ind w:firstLine="0"/>
        <w:jc w:val="center"/>
        <w:rPr>
          <w:rStyle w:val="FontStyle54"/>
          <w:rFonts w:ascii="Times New Roman" w:hAnsi="Times New Roman" w:cs="Times New Roman"/>
          <w:b/>
          <w:sz w:val="24"/>
          <w:lang w:val="kk-KZ" w:eastAsia="en-US"/>
        </w:rPr>
      </w:pPr>
    </w:p>
    <w:p w:rsidR="0091328B" w:rsidRDefault="0091328B" w:rsidP="0091328B">
      <w:pPr>
        <w:pStyle w:val="Style15"/>
        <w:widowControl/>
        <w:ind w:firstLine="0"/>
        <w:jc w:val="center"/>
        <w:rPr>
          <w:rStyle w:val="FontStyle54"/>
          <w:rFonts w:ascii="Times New Roman" w:hAnsi="Times New Roman" w:cs="Times New Roman"/>
          <w:b/>
          <w:sz w:val="24"/>
          <w:highlight w:val="yellow"/>
          <w:lang w:val="kk-KZ" w:eastAsia="en-US"/>
        </w:rPr>
      </w:pPr>
      <w:r w:rsidRPr="0091328B">
        <w:rPr>
          <w:rStyle w:val="FontStyle54"/>
          <w:rFonts w:ascii="Times New Roman" w:hAnsi="Times New Roman" w:cs="Times New Roman"/>
          <w:b/>
          <w:sz w:val="24"/>
          <w:lang w:val="kk-KZ" w:eastAsia="en-US"/>
        </w:rPr>
        <w:t>Методы микробиологического контроля</w:t>
      </w: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D.1 Общие положения</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Методы борьбы с распространением микроорганизмов в системах гемодиализа в первую очередь предполагает правильное проектирование и эксплуатацию систем, а также регулярную дезинфекцию систем очистки воды и гемодиализных аппаратов. Ключевая концепция обеспечения соответствия требованиям 4.2.4 и 4.4 заключается в том, что графики дезинфекции должны разрабатываться для предотвращения размножения бактерий, а не для уничтожения бактерий после того, как они размножились до неприемлемого уровня. С помощью этой стратегии контроль уровня бактерий и эндотоксинов служит для демонстрации эффективности программы дезинфекции, а не для указания того, когда следует проводить дезинфекцию. Грамотрицательные водные бактерии, связанные с ними липополисахариды (бактериальные эндотоксины) и нетуберкулезные микобактерии (NTM) чаще всего поступают из общего водоснабжения, и уровни этих бактерий могут быть усилены в зависимости от системы очистки воды, системы распределения диализной жидкости, типа диализного аппарата и метода дезинфекции.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Все компоненты систем очистки и распределения диализной воды, а также системы подготовки и распределения диализной жидкости могут служить резервуарами микробного загрязнения. В системах распределения диализной воды часто используются трубы большего диаметра и большей длины, чем это необходимо для обеспечения требуемого расхода. Негабаритные трубопроводы увеличивают как общий объем жидкости, так и площадь смоченной поверхности системы. Грамотрицательные бактерии в жидкостях, остающихся в трубах на ночь, быстро размножаются и колонизируют влажные поверхности, производя таким образом бактериальные популяции и эндотоксины в количествах, пропорциональных объему и площади поверхности. Такая колонизация приводит к образованию защитной биопленки, которую трудно удалить, как только она образуется, и которая обеспечивает барьер между бактериями и бактерицидом во время дезинфекции.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Биопленка </w:t>
      </w:r>
      <w:r>
        <w:rPr>
          <w:rStyle w:val="FontStyle54"/>
          <w:rFonts w:ascii="Times New Roman" w:hAnsi="Times New Roman" w:cs="Times New Roman"/>
          <w:sz w:val="24"/>
          <w:lang w:val="kk-KZ" w:eastAsia="en-US"/>
        </w:rPr>
        <w:t>–</w:t>
      </w:r>
      <w:r w:rsidRPr="0091328B">
        <w:rPr>
          <w:rStyle w:val="FontStyle54"/>
          <w:rFonts w:ascii="Times New Roman" w:hAnsi="Times New Roman" w:cs="Times New Roman"/>
          <w:sz w:val="24"/>
          <w:lang w:val="kk-KZ" w:eastAsia="en-US"/>
        </w:rPr>
        <w:t xml:space="preserve"> это сообщество микроорганизмов, состоящее из клеток, которые необратимо прикреплены к поверхности или интерфейсу или друг к другу [88]. Биопленки могут возникать на границе раздела твердое-жидкость, твердое-воздух и жидкое-воздух. Большинство микроорганизмов могут образовывать биопленки, и более 99 % всех микроорганизмов живут в таких агрегатах. Особенностью всех биопленок является то, что организмы встроены в матрицу микробного происхождения, состоящую из внеклеточных полимерных веществ (EPS). EPS состоит в основном из полисахаридов и белков, образующих гидрогелевые матрицы [89]. Структура биопленки и физиологические свойства биопленочных организмов придают им врожденную устойчивость к противомикробным агентам, будь то антибиотики, дезинфицирующие средства или бактерициды. </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Механизмы, ответственные за сопротивление, могут включать в себя </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 замедленное проникновение антимикробного агента через биопленочную матрицу, </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 изменение скорости роста биопленочных организмов, а также </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 другие физиологические изменения, связанные с режимом роста биопленки. </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Некоторое количество образования биопленки считается неизбежным в системах воды для диализа. Когда уровень биопленки таков, что уровни действия микроорганизмов и эндотоксинов в диализной воде не могут быть регулярно достигнуты, работа системы </w:t>
      </w:r>
      <w:r w:rsidRPr="0091328B">
        <w:rPr>
          <w:rStyle w:val="FontStyle54"/>
          <w:rFonts w:ascii="Times New Roman" w:hAnsi="Times New Roman" w:cs="Times New Roman"/>
          <w:sz w:val="24"/>
          <w:lang w:val="kk-KZ" w:eastAsia="en-US"/>
        </w:rPr>
        <w:lastRenderedPageBreak/>
        <w:t>ставится под угрозу с медицинской и технической точки зрения. Этот уровень образования биопленки часто называют биообрастанием. Ключ к тому, чтобы избежать биообрастания, заключается в минимизации развития биопленки. Степень роста биопленки зависит от наличия питательных веществ. Классические биоцидные подходы обычно не ограничивают доступность питательных веществ. На самом деле некоторые биоциды повышают доступность питательных веществ, окисляя непокорные органические вещества и делая их более биодоступными [90].</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Для контроля бактериального загрязнения распределительных систем следует проводить плановую дезинфекцию. Частота дезинфекции будет варьироваться в зависимости от конструкции системы и степени, в которой биопленка уже сформировалась в существующих системах. Гипохлорит натрия и озон, как правило, являются наиболее эффективными средствами против биопленки, и их использование может быть более эффективным, если трубы сначала обрабатываются средством для удаления накипи. Однако в некоторых случаях полная или частичная замена системы распределения может быть единственным способом восстановить контроль над зрелой биопленкой.</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Обычно считается, что поддержание потока через трубопроводные системы в любое время сводит к минимуму образование биопленки. Однако рост микроорганизмов и образование биопленок в гидравлических системах не могут контролироваться скоростью жидкости [91]. Данные полупроводниковой промышленности показывают, что число Рейнольдса 3000 в трубопроводной системе недостаточно для предотвращения бактериального загрязнения воды, так как биопленка была обнаружена на внутренних поверхностях труб [92]. [Число Рейнольдса приблизительно 3000 получено при скорости потока 0,15 м/с в трубе диаметром 2 см (0,5 фута/с в трубе диаметром 3/4 дюйма).]</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Даже если бы можно было указать минимальную скорость потока, которая была бы эффективна для уменьшения образования биопленки и бактериального загрязнения, использование такой минимальной скорости потока не обеспечило бы замены регулярной дезинфекции распределительной системы. Другие меры также могут помочь защитить трубы от загрязнения. В распределительную систему должен быть встроен механизм, обеспечивающий, чтобы дезинфицирующее средство не вытекало из труб в течение периода дезинфекции. Тупиковые трубы и неиспользуемые ответвления и отводы, которые могут задерживать жидкость, должны быть устранены, поскольку они действуют как резервуары бактерий и способны непрерывно заселять весь объем системы. Стыки между секциями трубопроводов и между трубопроводами и фитингами должны быть сформированы таким образом, чтобы свести к минимуму образование щелей и других пустот, которые могут служить местами для бактериальной колонизации. Трубы не следует резать ножовкой. Любые заусенцы должны быть удалены до того, как образуется соединение. Эти меры также сводят к минимуму вероятность того, что очаги остаточного дезинфицирующего средства могут остаться в трубопроводной системе после дезинфекции.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Резервуар для хранения в системе распределения воды для диализа или диализирующего раствора значительно увеличивает объем доступной жидкости и площадь поверхности и может служить нишей для водных бактерий. Поэтому резервуары для хранения не рекомендуется использовать в системах распределения воды для диализа или диализирующего раствора, если они часто не сливаются и должным образом не дезинфицируются. Пользователю может потребоваться очистить стенки резервуара для удаления бактериальной биопленки, если конструкция и техническое обслуживание резервуара недостаточны для предотвращения размножения бактерий. Рекомендуется использовать бактериальный и эндотоксиновый фильтр, расположенный дальше </w:t>
      </w:r>
      <w:r w:rsidRPr="0091328B">
        <w:rPr>
          <w:rStyle w:val="FontStyle54"/>
          <w:rFonts w:ascii="Times New Roman" w:hAnsi="Times New Roman" w:cs="Times New Roman"/>
          <w:sz w:val="24"/>
          <w:lang w:val="kk-KZ" w:eastAsia="en-US"/>
        </w:rPr>
        <w:lastRenderedPageBreak/>
        <w:t>резервуара для хранения, или какую-либо другую форму бактериального устройства контроля.</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Для большинства аппаратов для диализа обычная дезинфекция горячей водой или химическим бактерицидом, подключенным к дезинфекционному отверстию на аппарате, не дезинфицирует линию между выходом из системы распределения воды для диализа и задней частью аппарата для диализа. Пользователи должны установить процедуру регулярной дезинфекции этой линии. Один из подходов заключается в том, чтобы промыть гемодиализные аппараты водой, содержащей бактерицид, или горячей водой, когда контур распределения воды для диализа дезинфицируется. Если эта процедура используется с химическим бактерицидом, каждый аппарат для диализа должен быть промыт и протестирован на отсутствие остаточного бактерицида после дезинфекции.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Время хранения бикарбонатного концентрата должно быть сведено к минимуму (обычно менее 24 ч), а также смешивание свежего бикарбонатного концентрата с неиспользованными порциями концентрата из предыдущей партии. Необходимо следовать инструкциям изготовителя, если они имеются в наличии. Объекты, которые повторно используют контейнеры концентрата для бикарбонатного концентрата, должны дезинфицировать контейнеры по крайней мере еженедельно. Бикарбонатный концентрат может поддерживать пролиферативный рост микроорганизмов. Контейнеры и приемные трубки могут быть продезинфицированы бытовыми растворами гипохлорита натрия (от 106 300 мг/л до 600 мг/л свободного хлора) со временем контакта около 30 мин или в соответствии с другим национальным стандартом или правилами, или в соответствии с инструкциями изготовителя.</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Контейнеры и приемные трубки должны дезинфицироваться по крайней мере еженедельно или с периодичностью, требуемой местными нормативными требованиями. После дезинфекции контейнеры с бикарбонатным концентратом и трубки для сбора концентрата следует промыть очищенной водой, дать высохнуть на воздухе и хранить перевернутыми в конце каждого дня обработки. </w:t>
      </w:r>
    </w:p>
    <w:p w:rsidR="0091328B" w:rsidRDefault="0091328B" w:rsidP="0091328B">
      <w:pPr>
        <w:pStyle w:val="Style15"/>
        <w:widowControl/>
        <w:ind w:firstLine="567"/>
        <w:rPr>
          <w:rStyle w:val="FontStyle54"/>
          <w:rFonts w:ascii="Times New Roman" w:hAnsi="Times New Roman" w:cs="Times New Roman"/>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D.2 Методы микробиологического контроля</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D.2.1 Общие положения</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Микробиологическое качество воды для диализа регулярно проверяется для подтверждения эффективности программы дезинфекции. Периодичность наблюдения должна определяться в процессе валидации системы. При отсутствии формального определения частоты наблюдения, как правило, проводятся ежемесячно. Наблюдение может быть выполнено путем прямого подсчета пластин в сочетании с измерением эндотоксинов.</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Пробы воды для диализа собираются из нескольких мест, чтобы дать представление о микробном качестве воды во всей системе распределения воды для диализа. Для рутинного наблюдения пробы следует отбирать с последнего выхода распределительного контура воды для диализа, где вода для диализа поступает в оборудование, используемое для повторной обработки диализаторов, и где вода для диализа поступает в оборудование, используемое для приготовления бикарбонатного концентрата, или из бака для смешивания бикарбонатного концентрата. Дополнительные испытания, такие как в конце каскада очистки воды и на выходе из резервуара для хранения, если таковой используется, могут потребоваться при квалификации вновь установленной системы или при устранении причины загрязнения в контуре распределения воды для диализа. Для центральных систем распределения диализирующего раствора пробы должны отбираться с последнего выхода контура распределения диализирующего раствора.</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lastRenderedPageBreak/>
        <w:t>Для аппаратов для диализа, не оснащенных проверенными эндотоксиновыми фильтрами, образцы диализирующего раствора должны отбираться из достаточного количества аппаратов, чтобы каждый аппарат испытывался не реже одного раза в год. Для аппаратов для диализа, оснащенных проверенными эндотоксиновыми фильтрами, пробы должны отбираться в соответствии с инструкциями изготовителя фильтра. Если тестирование любого аппарата для гемодиализа выявит уровень загрязнения выше уровня действия, следует провести исследование. Исследование должно основываться на предположении, что другие аппараты для диализа также могут быть загрязнены. Она должна включать обзор соответствия процедурам дезинфекции и отбора проб, а также оценку микробиологических данных за предыдущие три месяца с целью выявления тенденций. Аппарат-нарушитель должен быть подвергнут повторному испытанию и дополнительной выборке аппаратов, чтобы определить, было ли загрязнение ограничено одним аппаратом или более распространено. Ответственное лицо также должно быть уведомлено.</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Культуры должны быть повторены, когда количество бактерий превышает допустимые уровни. Если рост культуры превышает допустимые нормы, образцы из системы распределения воды для диализа или системы распределения диализирующего раствора и аппаратов для диализа следует культивировать еженедельно до получения приемлемых результатов. Дополнительные пробы следует отбирать при наличии клинических признаков пирогенной реакции или септицемии, а также по специальному запросу клинициста или специалиста по инфекционному контролю.</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Образцы всегда собираются перед санитарной обработкой/дезинфекцией или не ранее чем через 24 ч после дезинфекции. Для систем, подвергающихся ежедневной дезинфекции, образцы должны быть собраны до и как можно ближе к следующей дезинфекции. Образцы из аппаратов для гемодиализа всегда должны быть собраны перед дезинфекцией. Культивируют воду для диализа и диализирующий раствор еженедельно для новых систем, пока не будет установлена модель. Для установленных систем, культивирование ежемесячно, если большая частота не продиктована историческими данными в данном учреждении. Если есть подозрение на биообрастание, например из-за неустойчивых результатов микробиологических тестов, то может возникнуть необходимость проверить наличие биопленки (см. D. 2.3).</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D.2.2 Сбор образцов</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Пробы отбираются непосредственно из пробоотборных отверстий, расположенных в различных частях системы распределения воды для диализной или диализирующего раствора. Как правило, пробоотборные отверстия должны быть открыты и диализной воде или диализной жидкости должно быть позволено работать в течение не менее 60 С, если только в инструкции изготовителя пробоотборного отверстия для использования не указано иное, прежде чем образец будет собран в стерильный контейнер без эндотоксинов. Для сбора проб следует использовать контейнеры, предназначенные для сбора образцов эндотоксинов. Объем собранной пробы должен составлять от 5 мл до 1000 мл в зависимости от проводимого испытания и/или в соответствии с требованиями лаборатории, проводящей испытание. Пробоотборные отверстия следует дезинфицировать с помощью ватного тампона или стерильной марли, смоченной спиртом, или в соответствии с рекомендациями изготовителя порта. Образец следует отбирать только в том случае, если в нем нет остатков дезинфицирующего средства. </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Образцы диализирующего раствора должны отбираться из пробоотборного отверстия во входной линии диализной жидкости к диализатору, или из выходного отверстия диализирующего раствора диализатора, или из пробоотборного отверстия в выходной линии диализирующего раствора диализатора. В некоторых новых аппаратах для диализа поток диализирующего раствора прекращается, когда линии диализирующего </w:t>
      </w:r>
      <w:r w:rsidRPr="0091328B">
        <w:rPr>
          <w:rStyle w:val="FontStyle54"/>
          <w:rFonts w:ascii="Times New Roman" w:hAnsi="Times New Roman" w:cs="Times New Roman"/>
          <w:sz w:val="24"/>
          <w:lang w:val="kk-KZ" w:eastAsia="en-US"/>
        </w:rPr>
        <w:lastRenderedPageBreak/>
        <w:t>раствора отсоединяются от порта. В этих случаях аппараты оснащены портами для отбора проб диализирующего раствора, доступ к которым осуществляется с помощью шприца. Пробоотборные отверстия могут быть продезинфицированы спиртом и высушены на воздухе. Стерильный шприц следует использовать для аспирации не менее 10 мл диализирующего раствора из пробоотборного отверстия и выбрасывать. Новый стерильный шприц соответствующего размера должен быть прикреплен и использован для взятия пробы. Объем собранной пробы должен составлять от 5 до 1000 мл в зависимости от проводимого испытания и/или в соответствии с требованиями лаборатории, проводящей испытание.</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Контейнеры, используемые для культивирования образцов, должны быть стерильными и не содержать эндотоксинов.</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D.2.3 Количество гетеротрофных пластин</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Образцы должны быть проанализированы как можно скорее после сбора, чтобы избежать непредсказуемых изменений в микробной популяции. Если образцы не могут быть проанализированы в течение 4 ч после сбора, их следует хранить при температуре &lt;10 °С без замораживания до тех пор, пока они не будут готовы к транспортированию в лабораторию для анализа. Следует избегать хранения образцов более 24 часов.</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Эталонным методом культивирования является метод мембранной фильтрации. При этом способе известный объем пробы или разбавленной пробы фильтруют через мембранный фильтр 0,45 мкм и мембранный фильтр асептически переносят на поверхность агаровой пластины. Также может быть использована техника распространения пластин. При этом способе инокулят из не менее 0,1 мл образца равномерно распределяют по поверхности агаровой пластины. Использование метода калиброванного цикла для нанесения образца на агаровую пластину не допускается. Можно также использовать метод заливки пластин. При этом методе обычно используется объем пробы от 0,1 до 0,3 мл. Погружные пробоотборники использовать не следует. Используемая питательная среда должна быть выбрана в зависимости от типа анализируемой жидкости, например стандартного диализирующего раствора; воды, используемой для приготовления стандартного диализирующего раствора, ультрачистого диализирующего раствора, воды, используемой для приготовления ультрачистого диализирующего раствора, или раствора, используемого для терапии в режиме реального времени, такой как гемодиафильтрация. Не следует использовать кровяной и шоколадный агары.</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Валидированный выбор среды, время инкубации и температура указаны в стандартах ISO 23500-3, ISO 23500-4 и ISO 23500-5. Во время инкубации пластины можно запечатать или хранить в пластиковом пакете, чтобы избежать высыхания агара, если это вызывает озабоченность, например, для методов, требующих 7-дневной инкубации. Колонии должны быть подсчитаны с помощью увеличительного устройства. Если требуется более точный подсчет по пластинкам, содержащим менее 30 колоний или более 300 колоний, можно культивировать большие или меньшие объемы. Меньшие объемы можно получить путем последовательного разведения 1:10 в стерильном фосфатном буфере. Если требуются большие объемы, то обычно следует использовать метод мембранной фильтрации.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 xml:space="preserve">Практически невозможно поддерживать стерильность воды для диализа или системы распределения диализирующего раствора; микроорганизмы всегда будут присутствовать на поверхности в ожидании питательных веществ, которые в случае литотрофных организмов могут быть даже неорганическими [93]. Количество гетеротрофных пластинок не дает хорошего представления о наличии биопленки. Образцы жидкости не дают никакой информации о месте, объеме или составе биопленки. Хотя биопленки загрязняют жидкость в распределительной системе, они делают это </w:t>
      </w:r>
      <w:r w:rsidRPr="0091328B">
        <w:rPr>
          <w:rStyle w:val="FontStyle54"/>
          <w:rFonts w:ascii="Times New Roman" w:hAnsi="Times New Roman" w:cs="Times New Roman"/>
          <w:sz w:val="24"/>
          <w:lang w:val="kk-KZ" w:eastAsia="en-US"/>
        </w:rPr>
        <w:lastRenderedPageBreak/>
        <w:t>только очень нерегулярно. Беспорядочные подсчеты колоний могут указывать на наличие биообрастания, так как скопления клеток могут быть отслоены от биопленки с высвобождением бактерий в текущую жидкость. В настоящее время существует мало практических методов для рутинного обнаружения биопленки. Традиционные методы основаны на отборе проб определенных участков поверхности или на экспонировании тестовых поверхностей (купонов) с последующим анализом в лаборатории. Классическим примером является так называемое «устройство Роббинса», которое состоит из заглушек, вставленных заподлицо со стенками трубы, испытывая при этом такое же напряжение сдвига, как и сама стенка [94]. Через определенные промежутки времени они удаляются и анализируются в лаборатории на все параметры, относящиеся к биопленке. Недостатком таких систем является запаздывание во времени между анализом и результатом. Джейкобе и др. (1996) [95] описали простой спектрофотометрический метод наблюдения с использованием специфичного для нуклеотидов флуоресцентного пятна (4', 6-диамидино-2-фенилиндол) и автоматизированного измерения. Были изобретены и другие методы, которые сообщают о росте биопленки в режиме онлайн, без разрушения и в режиме реального времени. Все они основаны на физических методах. Если тщательное внимание уделяется рутинной дезинфекции, то рутинное наблюдение за биопленкой не требуется. Однако, когда уровень биопленки приводит к ситуации биообрастания, может возникнуть необходимость определить уровень биопленки в системе с использованием доступных в настоящее время методов. </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D.2.4 Испытание на эндотоксины</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Испытание на эндотоксины проводится с помощью метода Limulus amoebocyte lysate (LAL). Существует множество различных методов анализа, и в настоящее время разрабатывается ряд новых методов. Существующие доступные методы включают в себя гель-тромб, который является полуколичественным, кинетические, которые являются хромогенными, турбидиметрическими или конечными точками.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Анализ гель-тромб LAL не так чувствителен, как кинетический анализ, и дает только положительный или отрицательный результат; то есть он показывает, присутствуют ли эндотоксины или нет в определенной концентрации. Единичные трубки гель-сгустки доступны из нескольких коммерческих источников, а также наборы с типичной следующей чувствительностью: 0,015 ЕЭ, 0,03 ЕЭ, 0,06 ЕЭ, 0,125 ЕЭ, 0,25 ЕЭ и 0,5 ЕЭ. Как минимум, две пробирки должны быть запущены каждый раз, когда проводится анализ. Первая трубка содержит реагент LAL и образец, подлежащий испытанию. Вторая трубка содержит реагент LAL, известное количество эндотоксинов и образец, подлежащий испытанию. Вторая трубка действует как положительный контроль, чтобы подтвердить отсутствие каких-либо помех, которые могут привести к ложноотрицательному результату. Положительные контрольные трубки доступны у поставщиков коммерческих анализов LAL.</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Кинетический анализ LAL использует контрольные стандартные эндотоксины для получения стандартной кривой, с которой сравниваются неизвестные и определяются концентрации с помощью линейной регрессии. Кинетические анализы, используемые в лабораториях, как правило, используют компьютерный спектрофотометр, который автоматически вычисляет количество эндотоксинов на основе развития цвета, турбидиметрических показаний или времени начала образования геля.</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Помимо теста LAL имеется ряд анализов с различной специфичностью и чувствительностью для количественной оценки и определения биологически активных веществ микробного происхождения (например, личинки шелкопряда, анализ цитокинов мононуклеарных клеток и 1,3-β D-глюканы).</w:t>
      </w:r>
    </w:p>
    <w:p w:rsidR="0091328B" w:rsidRDefault="0091328B" w:rsidP="0091328B">
      <w:pPr>
        <w:pStyle w:val="Style15"/>
        <w:widowControl/>
        <w:ind w:firstLine="567"/>
        <w:rPr>
          <w:rStyle w:val="FontStyle54"/>
          <w:rFonts w:ascii="Times New Roman" w:hAnsi="Times New Roman" w:cs="Times New Roman"/>
          <w:b/>
          <w:sz w:val="24"/>
          <w:lang w:val="kk-KZ" w:eastAsia="en-US"/>
        </w:rPr>
      </w:pPr>
    </w:p>
    <w:p w:rsidR="0091328B" w:rsidRDefault="0091328B" w:rsidP="0091328B">
      <w:pPr>
        <w:pStyle w:val="Style15"/>
        <w:widowControl/>
        <w:ind w:firstLine="567"/>
        <w:rPr>
          <w:rStyle w:val="FontStyle54"/>
          <w:rFonts w:ascii="Times New Roman" w:hAnsi="Times New Roman" w:cs="Times New Roman"/>
          <w:b/>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lastRenderedPageBreak/>
        <w:t>D.3 Интерпретация результатов микробиологического контроля</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Результаты микробиологического контроля или культивирования зависят от трех основных параметров: питательной среды, температуры культивирования и продолжительности культивирования. Рекомендуемые методы и условия культивирования можно найти в стандартах ISO 23500-3, ISO 23500-4 и ISO 23500-5. Точный микробиологический надзор имеет важное значение для установления микробного содержания воды и диализной жидкости. Результаты культивирования, полученные с использованием методов, изложенных в настоящем стандарте, являются лишь относительным показателем содержания биобурдена в воде для диализа или диализирующем растворе и не дают измерения абсолютной бактериальной нагрузки.</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Использование триптоноглюкозного агара (TGEA) или агара Reasoner 2А (R2A) инкубированных при температуре 17 до 23 °С в течение 7 дней, или триптического соевого агара (TSA), инкубированного при 35 °С в течение 48 часов - проверенные и приемлемые методы. Пользователь должен определить, какая из этих методологий подходит для соответствующей ситуации, принимая во внимание преимущества каждой из них. Согласно фармакопее Соединенных Штатов, «решение об использовании более длительного времени инкубации должно приниматься после сбалансирования потребности в своевременной информации и типа корректирующих действий, необходимых при превышении уровня тревоги или действия, с возможностью восстановления интересующих микроорганизмов. Преимущества, полученные при инкубации в течение более длительного времени, а именно восстановление поврежденных микроорганизмов, медленно растущих или более прихотливых микроорганизмов, должны быть сбалансированы с необходимостью своевременного исследования и принятия корректирующих мер, а также способностью этих микроорганизмов пагубно влиять на продукты или процессы» (например, безопасность пациентов). [9].</w:t>
      </w:r>
    </w:p>
    <w:p w:rsidR="0091328B" w:rsidRP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Следует также отметить, что измерения отражают присутствие планктонных организмов в системе хранения и распределения жидкости. Однако более 99 % всех микроорганизмов в такой системе живут в биопленках на поверхности системы [96]. Таким образом, следует проявлять осторожность при интерпретации результатов культивирования, поскольку низкое количество бактерий может быть получено даже в том случае, если система была загрязнена установленной биопленкой, если образец был взят в определенный момент времени после дезинфекции, но до того, как событие пролития биопленки восстановило популяцию планктонных организмов.</w:t>
      </w:r>
    </w:p>
    <w:p w:rsidR="0091328B" w:rsidRDefault="0091328B" w:rsidP="0091328B">
      <w:pPr>
        <w:pStyle w:val="Style15"/>
        <w:widowControl/>
        <w:ind w:firstLine="567"/>
        <w:rPr>
          <w:rStyle w:val="FontStyle54"/>
          <w:rFonts w:ascii="Times New Roman" w:hAnsi="Times New Roman" w:cs="Times New Roman"/>
          <w:sz w:val="24"/>
          <w:lang w:val="kk-KZ" w:eastAsia="en-US"/>
        </w:rPr>
      </w:pPr>
      <w:r w:rsidRPr="0091328B">
        <w:rPr>
          <w:rStyle w:val="FontStyle54"/>
          <w:rFonts w:ascii="Times New Roman" w:hAnsi="Times New Roman" w:cs="Times New Roman"/>
          <w:sz w:val="24"/>
          <w:lang w:val="kk-KZ" w:eastAsia="en-US"/>
        </w:rPr>
        <w:t>Основным подходом в отношении интерпретации результатов микробиологических тестов является использование трендового анализа. Это позволяет определить точку, в которой должны быть предприняты корректирующие действия. Предлагаемый алгоритм действий, которые необходимо предпринять в случае уровня эндотоксинов &gt;</w:t>
      </w:r>
      <w:r>
        <w:rPr>
          <w:rStyle w:val="FontStyle54"/>
          <w:rFonts w:ascii="Times New Roman" w:hAnsi="Times New Roman" w:cs="Times New Roman"/>
          <w:sz w:val="24"/>
          <w:lang w:val="kk-KZ" w:eastAsia="en-US"/>
        </w:rPr>
        <w:t xml:space="preserve"> </w:t>
      </w:r>
      <w:r w:rsidRPr="0091328B">
        <w:rPr>
          <w:rStyle w:val="FontStyle54"/>
          <w:rFonts w:ascii="Times New Roman" w:hAnsi="Times New Roman" w:cs="Times New Roman"/>
          <w:sz w:val="24"/>
          <w:lang w:val="kk-KZ" w:eastAsia="en-US"/>
        </w:rPr>
        <w:t>0,25 ЕЭ/мл и содержания бактерий &gt;100 КОЕ/мл, представлен на рисунке D.1.</w:t>
      </w:r>
    </w:p>
    <w:p w:rsidR="0091328B" w:rsidRDefault="0091328B" w:rsidP="0091328B">
      <w:pPr>
        <w:pStyle w:val="Style15"/>
        <w:widowControl/>
        <w:ind w:firstLine="567"/>
        <w:rPr>
          <w:rStyle w:val="FontStyle54"/>
          <w:rFonts w:ascii="Times New Roman" w:hAnsi="Times New Roman" w:cs="Times New Roman"/>
          <w:sz w:val="24"/>
          <w:lang w:val="kk-KZ" w:eastAsia="en-US"/>
        </w:rPr>
      </w:pPr>
    </w:p>
    <w:p w:rsidR="0091328B" w:rsidRPr="0091328B" w:rsidRDefault="0091328B" w:rsidP="0091328B">
      <w:pPr>
        <w:pStyle w:val="Style15"/>
        <w:widowControl/>
        <w:ind w:firstLine="0"/>
        <w:rPr>
          <w:rStyle w:val="FontStyle54"/>
          <w:rFonts w:ascii="Times New Roman" w:hAnsi="Times New Roman" w:cs="Times New Roman"/>
          <w:sz w:val="24"/>
          <w:highlight w:val="yellow"/>
          <w:lang w:val="kk-KZ" w:eastAsia="en-US"/>
        </w:rPr>
      </w:pPr>
      <w:r>
        <w:rPr>
          <w:rFonts w:ascii="Times New Roman" w:eastAsia="Arial Unicode MS" w:hAnsi="Times New Roman" w:cs="Times New Roman"/>
          <w:noProof/>
          <w:color w:val="000000"/>
        </w:rPr>
        <w:lastRenderedPageBreak/>
        <w:drawing>
          <wp:inline distT="0" distB="0" distL="0" distR="0">
            <wp:extent cx="5932805" cy="49745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805" cy="4974590"/>
                    </a:xfrm>
                    <a:prstGeom prst="rect">
                      <a:avLst/>
                    </a:prstGeom>
                    <a:noFill/>
                    <a:ln>
                      <a:noFill/>
                    </a:ln>
                  </pic:spPr>
                </pic:pic>
              </a:graphicData>
            </a:graphic>
          </wp:inline>
        </w:drawing>
      </w:r>
    </w:p>
    <w:p w:rsidR="0091328B" w:rsidRP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P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r>
        <w:rPr>
          <w:rFonts w:ascii="Times New Roman" w:eastAsia="Arial Unicode MS" w:hAnsi="Times New Roman" w:cs="Times New Roman"/>
          <w:b/>
          <w:noProof/>
          <w:color w:val="000000"/>
        </w:rPr>
        <w:lastRenderedPageBreak/>
        <w:drawing>
          <wp:inline distT="0" distB="0" distL="0" distR="0">
            <wp:extent cx="4277800" cy="5954188"/>
            <wp:effectExtent l="0" t="0" r="889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78010" cy="5954481"/>
                    </a:xfrm>
                    <a:prstGeom prst="rect">
                      <a:avLst/>
                    </a:prstGeom>
                    <a:noFill/>
                    <a:ln>
                      <a:noFill/>
                    </a:ln>
                  </pic:spPr>
                </pic:pic>
              </a:graphicData>
            </a:graphic>
          </wp:inline>
        </w:drawing>
      </w:r>
    </w:p>
    <w:p w:rsidR="0091328B" w:rsidRPr="0091328B" w:rsidRDefault="0091328B" w:rsidP="0091328B">
      <w:pPr>
        <w:pStyle w:val="Style15"/>
        <w:widowControl/>
        <w:ind w:firstLine="567"/>
        <w:rPr>
          <w:rStyle w:val="FontStyle54"/>
          <w:rFonts w:ascii="Times New Roman" w:hAnsi="Times New Roman" w:cs="Times New Roman"/>
          <w:b/>
          <w:sz w:val="20"/>
          <w:szCs w:val="20"/>
          <w:lang w:val="kk-KZ" w:eastAsia="en-US"/>
        </w:rPr>
      </w:pPr>
      <w:r w:rsidRPr="0091328B">
        <w:rPr>
          <w:rStyle w:val="FontStyle54"/>
          <w:rFonts w:ascii="Times New Roman" w:hAnsi="Times New Roman" w:cs="Times New Roman"/>
          <w:b/>
          <w:sz w:val="20"/>
          <w:szCs w:val="20"/>
          <w:lang w:val="kk-KZ" w:eastAsia="en-US"/>
        </w:rPr>
        <w:t>Условные обозначения</w:t>
      </w:r>
    </w:p>
    <w:p w:rsidR="0091328B" w:rsidRPr="0091328B" w:rsidRDefault="0091328B" w:rsidP="0091328B">
      <w:pPr>
        <w:pStyle w:val="Style15"/>
        <w:widowControl/>
        <w:ind w:firstLine="567"/>
        <w:rPr>
          <w:rStyle w:val="FontStyle54"/>
          <w:rFonts w:ascii="Times New Roman" w:hAnsi="Times New Roman" w:cs="Times New Roman"/>
          <w:sz w:val="20"/>
          <w:szCs w:val="20"/>
          <w:lang w:val="kk-KZ" w:eastAsia="en-US"/>
        </w:rPr>
      </w:pPr>
      <w:r w:rsidRPr="0091328B">
        <w:rPr>
          <w:rStyle w:val="FontStyle54"/>
          <w:rFonts w:ascii="Times New Roman" w:hAnsi="Times New Roman" w:cs="Times New Roman"/>
          <w:sz w:val="20"/>
          <w:szCs w:val="20"/>
          <w:lang w:val="kk-KZ" w:eastAsia="en-US"/>
        </w:rPr>
        <w:t xml:space="preserve">A – Микробиологические параметры оцениваются по результатам валидации системы; </w:t>
      </w:r>
    </w:p>
    <w:p w:rsidR="0091328B" w:rsidRPr="0091328B" w:rsidRDefault="0091328B" w:rsidP="0091328B">
      <w:pPr>
        <w:pStyle w:val="Style15"/>
        <w:widowControl/>
        <w:ind w:firstLine="567"/>
        <w:rPr>
          <w:rStyle w:val="FontStyle54"/>
          <w:rFonts w:ascii="Times New Roman" w:hAnsi="Times New Roman" w:cs="Times New Roman"/>
          <w:sz w:val="20"/>
          <w:szCs w:val="20"/>
          <w:lang w:val="kk-KZ" w:eastAsia="en-US"/>
        </w:rPr>
      </w:pPr>
      <w:r w:rsidRPr="0091328B">
        <w:rPr>
          <w:rStyle w:val="FontStyle54"/>
          <w:rFonts w:ascii="Times New Roman" w:hAnsi="Times New Roman" w:cs="Times New Roman"/>
          <w:sz w:val="20"/>
          <w:szCs w:val="20"/>
          <w:lang w:val="kk-KZ" w:eastAsia="en-US"/>
        </w:rPr>
        <w:t xml:space="preserve">В – Микробиологические параметры оцениваются по результатам валидации системы внеочередной дезинфекции (возможно, потребуется изменить методы дезинфекции). Образцы должны быть собраны не ранее чем через 24 часа после дезинфекции; </w:t>
      </w:r>
    </w:p>
    <w:p w:rsidR="0091328B" w:rsidRPr="0091328B" w:rsidRDefault="0091328B" w:rsidP="0091328B">
      <w:pPr>
        <w:pStyle w:val="Style15"/>
        <w:widowControl/>
        <w:ind w:firstLine="567"/>
        <w:rPr>
          <w:rStyle w:val="FontStyle54"/>
          <w:rFonts w:ascii="Times New Roman" w:hAnsi="Times New Roman" w:cs="Times New Roman"/>
          <w:sz w:val="20"/>
          <w:szCs w:val="20"/>
          <w:lang w:val="kk-KZ" w:eastAsia="en-US"/>
        </w:rPr>
      </w:pPr>
      <w:r w:rsidRPr="0091328B">
        <w:rPr>
          <w:rStyle w:val="FontStyle54"/>
          <w:rFonts w:ascii="Times New Roman" w:hAnsi="Times New Roman" w:cs="Times New Roman"/>
          <w:sz w:val="20"/>
          <w:szCs w:val="20"/>
          <w:lang w:val="kk-KZ" w:eastAsia="en-US"/>
        </w:rPr>
        <w:t xml:space="preserve">С – Дополнительные меры могут включать необходимость изменения методов дезинфекции, изменения компонентов (например, RO мембрана). Образцы должны быть собраны не ранее чем через 24 часа после дезинфекции; </w:t>
      </w:r>
    </w:p>
    <w:p w:rsidR="0091328B" w:rsidRPr="0091328B" w:rsidRDefault="0091328B" w:rsidP="0091328B">
      <w:pPr>
        <w:pStyle w:val="Style15"/>
        <w:widowControl/>
        <w:ind w:firstLine="567"/>
        <w:rPr>
          <w:rStyle w:val="FontStyle54"/>
          <w:rFonts w:ascii="Times New Roman" w:hAnsi="Times New Roman" w:cs="Times New Roman"/>
          <w:sz w:val="20"/>
          <w:szCs w:val="20"/>
          <w:lang w:val="kk-KZ" w:eastAsia="en-US"/>
        </w:rPr>
      </w:pPr>
      <w:r w:rsidRPr="0091328B">
        <w:rPr>
          <w:rStyle w:val="FontStyle54"/>
          <w:rFonts w:ascii="Times New Roman" w:hAnsi="Times New Roman" w:cs="Times New Roman"/>
          <w:sz w:val="20"/>
          <w:szCs w:val="20"/>
          <w:lang w:val="kk-KZ" w:eastAsia="en-US"/>
        </w:rPr>
        <w:t>D – Прерывание лечения всегда должно быть согласовано с ответственным медицинским потребителем на основе анализа риска. Кроме того, при этом анализе необходимо учитывать оценку диализирующего раствора.</w:t>
      </w:r>
    </w:p>
    <w:p w:rsidR="0091328B" w:rsidRPr="0091328B" w:rsidRDefault="0091328B" w:rsidP="0091328B">
      <w:pPr>
        <w:pStyle w:val="Style15"/>
        <w:widowControl/>
        <w:ind w:firstLine="567"/>
        <w:rPr>
          <w:rStyle w:val="FontStyle54"/>
          <w:rFonts w:ascii="Times New Roman" w:hAnsi="Times New Roman" w:cs="Times New Roman"/>
          <w:sz w:val="20"/>
          <w:szCs w:val="20"/>
          <w:lang w:val="kk-KZ" w:eastAsia="en-US"/>
        </w:rPr>
      </w:pPr>
    </w:p>
    <w:p w:rsidR="0091328B" w:rsidRPr="0091328B" w:rsidRDefault="0091328B" w:rsidP="0091328B">
      <w:pPr>
        <w:pStyle w:val="Style15"/>
        <w:widowControl/>
        <w:ind w:firstLine="567"/>
        <w:rPr>
          <w:rStyle w:val="FontStyle54"/>
          <w:rFonts w:ascii="Times New Roman" w:hAnsi="Times New Roman" w:cs="Times New Roman"/>
          <w:sz w:val="20"/>
          <w:szCs w:val="20"/>
          <w:highlight w:val="yellow"/>
          <w:lang w:val="kk-KZ" w:eastAsia="en-US"/>
        </w:rPr>
      </w:pPr>
      <w:r w:rsidRPr="0091328B">
        <w:rPr>
          <w:rStyle w:val="FontStyle54"/>
          <w:rFonts w:ascii="Times New Roman" w:hAnsi="Times New Roman" w:cs="Times New Roman"/>
          <w:sz w:val="20"/>
          <w:szCs w:val="20"/>
          <w:lang w:val="kk-KZ" w:eastAsia="en-US"/>
        </w:rPr>
        <w:t>Примечание – Воспроизводится с разрешения: Good Dialysis practice Water and Dialysis fluids: Boccato C, Evans D Lucena R, Vienken J Pabst Publishers Lengerich, Germany. ISBN 978-3-95853-111-6</w:t>
      </w:r>
      <w:r>
        <w:rPr>
          <w:rStyle w:val="FontStyle54"/>
          <w:rFonts w:ascii="Times New Roman" w:hAnsi="Times New Roman" w:cs="Times New Roman"/>
          <w:sz w:val="20"/>
          <w:szCs w:val="20"/>
          <w:lang w:val="kk-KZ" w:eastAsia="en-US"/>
        </w:rPr>
        <w:t>.</w:t>
      </w: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r w:rsidRPr="0091328B">
        <w:rPr>
          <w:rStyle w:val="FontStyle54"/>
          <w:rFonts w:ascii="Times New Roman" w:hAnsi="Times New Roman" w:cs="Times New Roman"/>
          <w:b/>
          <w:sz w:val="24"/>
          <w:lang w:val="kk-KZ" w:eastAsia="en-US"/>
        </w:rPr>
        <w:t xml:space="preserve">Рисунок D.1 </w:t>
      </w:r>
      <w:r>
        <w:rPr>
          <w:rStyle w:val="FontStyle54"/>
          <w:rFonts w:ascii="Times New Roman" w:hAnsi="Times New Roman" w:cs="Times New Roman"/>
          <w:b/>
          <w:sz w:val="24"/>
          <w:lang w:val="kk-KZ" w:eastAsia="en-US"/>
        </w:rPr>
        <w:t>–</w:t>
      </w:r>
      <w:r w:rsidRPr="0091328B">
        <w:rPr>
          <w:rStyle w:val="FontStyle54"/>
          <w:rFonts w:ascii="Times New Roman" w:hAnsi="Times New Roman" w:cs="Times New Roman"/>
          <w:b/>
          <w:sz w:val="24"/>
          <w:lang w:val="kk-KZ" w:eastAsia="en-US"/>
        </w:rPr>
        <w:t xml:space="preserve"> Оценка результатов микробиологического контроля и соответствующих (корректирующих) действий</w:t>
      </w: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Pr="0091328B" w:rsidRDefault="0091328B" w:rsidP="0091328B">
      <w:pPr>
        <w:pStyle w:val="Style15"/>
        <w:widowControl/>
        <w:ind w:firstLine="0"/>
        <w:jc w:val="center"/>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lastRenderedPageBreak/>
        <w:t>Приложение Е</w:t>
      </w:r>
    </w:p>
    <w:p w:rsidR="0091328B" w:rsidRPr="0091328B" w:rsidRDefault="0091328B" w:rsidP="0091328B">
      <w:pPr>
        <w:pStyle w:val="Style15"/>
        <w:widowControl/>
        <w:ind w:firstLine="0"/>
        <w:jc w:val="center"/>
        <w:rPr>
          <w:rStyle w:val="FontStyle54"/>
          <w:rFonts w:ascii="Times New Roman" w:hAnsi="Times New Roman" w:cs="Times New Roman"/>
          <w:i/>
          <w:sz w:val="24"/>
          <w:lang w:val="kk-KZ" w:eastAsia="en-US"/>
        </w:rPr>
      </w:pPr>
      <w:r w:rsidRPr="0091328B">
        <w:rPr>
          <w:rStyle w:val="FontStyle54"/>
          <w:rFonts w:ascii="Times New Roman" w:hAnsi="Times New Roman" w:cs="Times New Roman"/>
          <w:i/>
          <w:sz w:val="24"/>
          <w:lang w:val="kk-KZ" w:eastAsia="en-US"/>
        </w:rPr>
        <w:t>(информационное)</w:t>
      </w:r>
    </w:p>
    <w:p w:rsidR="0091328B" w:rsidRDefault="0091328B" w:rsidP="0091328B">
      <w:pPr>
        <w:pStyle w:val="Style15"/>
        <w:widowControl/>
        <w:ind w:firstLine="0"/>
        <w:jc w:val="center"/>
        <w:rPr>
          <w:rStyle w:val="FontStyle54"/>
          <w:rFonts w:ascii="Times New Roman" w:hAnsi="Times New Roman" w:cs="Times New Roman"/>
          <w:b/>
          <w:sz w:val="24"/>
          <w:lang w:val="kk-KZ" w:eastAsia="en-US"/>
        </w:rPr>
      </w:pPr>
    </w:p>
    <w:p w:rsidR="0091328B" w:rsidRDefault="0091328B" w:rsidP="0091328B">
      <w:pPr>
        <w:pStyle w:val="Style15"/>
        <w:widowControl/>
        <w:ind w:firstLine="0"/>
        <w:jc w:val="center"/>
        <w:rPr>
          <w:rStyle w:val="FontStyle54"/>
          <w:rFonts w:ascii="Times New Roman" w:hAnsi="Times New Roman" w:cs="Times New Roman"/>
          <w:b/>
          <w:sz w:val="24"/>
          <w:highlight w:val="yellow"/>
          <w:lang w:val="kk-KZ" w:eastAsia="en-US"/>
        </w:rPr>
      </w:pPr>
      <w:r w:rsidRPr="0091328B">
        <w:rPr>
          <w:rStyle w:val="FontStyle54"/>
          <w:rFonts w:ascii="Times New Roman" w:hAnsi="Times New Roman" w:cs="Times New Roman"/>
          <w:b/>
          <w:sz w:val="24"/>
          <w:lang w:val="kk-KZ" w:eastAsia="en-US"/>
        </w:rPr>
        <w:t>Валидация</w:t>
      </w:r>
    </w:p>
    <w:p w:rsidR="0091328B" w:rsidRDefault="0091328B" w:rsidP="004636A8">
      <w:pPr>
        <w:pStyle w:val="Style15"/>
        <w:widowControl/>
        <w:ind w:firstLine="0"/>
        <w:jc w:val="center"/>
        <w:rPr>
          <w:rStyle w:val="FontStyle54"/>
          <w:rFonts w:ascii="Times New Roman" w:hAnsi="Times New Roman" w:cs="Times New Roman"/>
          <w:b/>
          <w:sz w:val="24"/>
          <w:highlight w:val="yellow"/>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Е.1 Общие сведения и справочная информация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В настоящем приложении содержится справочная информация по </w:t>
      </w:r>
      <w:r w:rsidR="00575488" w:rsidRPr="00575488">
        <w:rPr>
          <w:rStyle w:val="FontStyle54"/>
          <w:rFonts w:ascii="Times New Roman" w:hAnsi="Times New Roman" w:cs="Times New Roman"/>
          <w:sz w:val="24"/>
          <w:lang w:val="kk-KZ" w:eastAsia="en-US"/>
        </w:rPr>
        <w:t>разделам</w:t>
      </w:r>
      <w:r w:rsidRPr="00575488">
        <w:rPr>
          <w:rStyle w:val="FontStyle54"/>
          <w:rFonts w:ascii="Times New Roman" w:hAnsi="Times New Roman" w:cs="Times New Roman"/>
          <w:sz w:val="24"/>
          <w:lang w:val="kk-KZ" w:eastAsia="en-US"/>
        </w:rPr>
        <w:t xml:space="preserve"> 6 и 8, а также по приложению С.</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Диализирующий раствор и замещающий раствор, используемые для конвективной терапии в режиме реального времени, являются результатом онлайн-процесса и используются сразу же после их производства. По этой причине использование методов «управления серийным производством», основанных на испытаниях с фиксированными интервалами, не является наиболее эффективным способом обеспечения непрерывного достижения требуемого уровня качества. Периодическая оценка химического и микробиологического качества жидкости может не выявить потенциальной проблемы; например, если эта проблема возникла сразу после отбора пробного образца.</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Кроме того, соответствие требованию о стерильности замещающего раствора, используемого для интерактивной конвективной терапии, не может быть продемонстрировано культивированием, а обеспечивается применением валидированного и адекватно контролируемого процесса.</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План наблюдения за всей системой (т. е. включающий этапы от производства диализной воды до производства диализной жидкости и замещающей жидкости) основан на знаниях, полученных с помощью плана валидации для конкретной системы производства диализной воды или диализной жидкости, а также стратегий наблюдения, применимых к устройствам для производства диализирующего раствора, как это было подтверждено изготовителем.</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Кроме того, при использовании валидированного и контролируемого процесса удаления бактерий и эндотоксинов на диализном аппарате отбор проб замещающей жидкости не требуется. Наличие в системе деталей и оборудования (например, диализного аппарата или эндотоксиновых фильтров), которые уже прошли валидацию изготовителем, является достаточным для обеспечения качества жидкости при условии, что эти детали и оборудование эксплуатируются в соответствии с инструкциями изготовителя. Отбор проб воды для диализа или диализирующего раствора должен производиться по требованию изготовителя валидированного процесса.</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 этим причинам и в соответствии с вышеупомянутыми условиями эффективная стратегия наблюдения должна основываться на прямом отборе проб воды для диализа и/или диализирующего раствора, а также на наблюдении за технологическими параметрами, рекомендованными изготовителем и определяемыми знаниями о системе подготовки воды или диализирующего раствора, приобретенными на этапе валидации.</w:t>
      </w:r>
    </w:p>
    <w:p w:rsidR="00575488" w:rsidRDefault="00575488" w:rsidP="0091328B">
      <w:pPr>
        <w:pStyle w:val="Style15"/>
        <w:widowControl/>
        <w:ind w:firstLine="567"/>
        <w:rPr>
          <w:rStyle w:val="FontStyle54"/>
          <w:rFonts w:ascii="Times New Roman" w:hAnsi="Times New Roman" w:cs="Times New Roman"/>
          <w:b/>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Е.2 Программа валидации</w:t>
      </w:r>
    </w:p>
    <w:p w:rsidR="00575488" w:rsidRDefault="00575488" w:rsidP="0091328B">
      <w:pPr>
        <w:pStyle w:val="Style15"/>
        <w:widowControl/>
        <w:ind w:firstLine="567"/>
        <w:rPr>
          <w:rStyle w:val="FontStyle54"/>
          <w:rFonts w:ascii="Times New Roman" w:hAnsi="Times New Roman" w:cs="Times New Roman"/>
          <w:b/>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Е.2.1 Общие положения</w:t>
      </w:r>
    </w:p>
    <w:p w:rsidR="0091328B"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Эффективность системы производства воды для диализа или диализирующего раствора должна быть проверена, чтобы продемонстрировать, что эта система «пригодна для использования». Процедура валидации должна обеспечивать документальное подтверждение того, что процесс будет последовательно производить воду для диализа, диализирующий раствор или замещающий раствор, отвечающие требованиям качества ISO 23500-3 и/или ISO 23500-5.</w:t>
      </w:r>
    </w:p>
    <w:p w:rsidR="00575488" w:rsidRPr="00575488" w:rsidRDefault="00575488" w:rsidP="0091328B">
      <w:pPr>
        <w:pStyle w:val="Style15"/>
        <w:widowControl/>
        <w:ind w:firstLine="567"/>
        <w:rPr>
          <w:rStyle w:val="FontStyle54"/>
          <w:rFonts w:ascii="Times New Roman" w:hAnsi="Times New Roman" w:cs="Times New Roman"/>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lastRenderedPageBreak/>
        <w:t>Е.2.2 Этапы проверки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Как описано в пункте 6, проверка состоит из следующих действий:</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план валидации;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установочная и операционная квалификация; </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эксплуатационная квалификация;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 повторная валидация на основе данных, собранных в ходе планового наблюдения. </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Е.2.3 План валидации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План валидации является дорожной картой для успешной валидации и дает полную картину деятельности по валидации в отделении диализа.</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План валидации определяет и перечисляет все необходимые мероприятия и документацию для проведения валидации.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установочная и операционная квалификация;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эксплуатационная квалификация, 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повторная валидация.</w:t>
      </w:r>
    </w:p>
    <w:p w:rsidR="0091328B"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Уровень детализации плана должен отражать риск, сложность и новизну системы. План валидации должен определять все обязанности во время валидации и последующей работы системы.</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Е.2.4 Эксплуатационная квалификация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Как описано в пункте 6, цель эксплуатационной квалификации состоит в том, чтобы установить, что система в целом функционирует последовательно для производства воды и диализирующего раствора требуемого качества при эксплуатации в соответствии с определенными процедурами и при поступлении воды определенных характеристик.</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Предпосылки для эксплуатационной квалификации следующие:</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демонстрация того, что система была установлена в соответствии с проектными планами и в соответствии с процедурами изготовителя по установке (т. е. установочная квалификация);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демонстрация того, что система выполняет все необходимые действия и может эксплуатироваться согласно соответствующим техническим руководствам (например, операционная квалификация).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Эксплуатационная квалификация включает периодическую оценку набора физических, химических и микробиологических параметров, чтобы продемонстрировать, что согласованная модель производительности может быть достигнута для конкретных требований к проектированию и производительности системы.</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Схема отбора проб и тестирования может быть ослаблена во время фазы наблюдения (нормальная работа) при условии, что можно продемонстрировать, что система последовательно дает высококачественные результаты в течение длительного периода и что непрерывно контролируемые параметры обеспечивают полное наблюдение за производительностью системы.</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соответствии с этими допущениями может быть принята следующая схема эксплуатационной квалификации.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Первая фаза требует полного химического и микробиологического анализа воды для диализа или микробиологического анализа диализирующего раствора с последующим регулярным микробиологическим анализом для демонстрации стабильного качества в интервале между дезинфекциями. В течение этого периода должна быть собрана вся информация о поведении системы и проведена точная настройка уровней действия.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На этом этапе частота тестирования микробиологических параметров поддерживается на более высоком уровне для создания «анализа трендов» и выявления любых отклонений для обеспечения безопасности пациентов.</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Достижение, по крайней мере, трех последовательных результатов, последовательно ниже уровня действия, позволяет начать вторую фазу, где реализуются конечная частота </w:t>
      </w:r>
      <w:r w:rsidRPr="00575488">
        <w:rPr>
          <w:rStyle w:val="FontStyle54"/>
          <w:rFonts w:ascii="Times New Roman" w:hAnsi="Times New Roman" w:cs="Times New Roman"/>
          <w:sz w:val="24"/>
          <w:lang w:val="kk-KZ" w:eastAsia="en-US"/>
        </w:rPr>
        <w:lastRenderedPageBreak/>
        <w:t>тестирования микробиологических параметров и конечная частота дезинфекции. Отбор проб следует проводить до дезинфекции или, в качестве альтернативы, не ранее чем через 24 ч после процесса дезинфекции, чтобы избежать ложноотрицательных результатов и продемонстрировать соответствующее поведение системы. Образцы, взятые после дезинфекции, используются для демонстрации эффективности процедуры дезинфекции; они должны быть приняты по крайней мере один раз после первой дезинфекции и после любых значительных отклонений в микробиологическом качестве воды для диализа или диализирующего раствора. </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Достижение двух последовательных результатов в пределах уровня действия позволяет успешно завершить эксплуатационную квалификацию и начать рутинные операции контроля.</w:t>
      </w: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p>
    <w:p w:rsidR="0091328B" w:rsidRPr="0091328B" w:rsidRDefault="0091328B" w:rsidP="0091328B">
      <w:pPr>
        <w:pStyle w:val="Style15"/>
        <w:widowControl/>
        <w:ind w:firstLine="567"/>
        <w:rPr>
          <w:rStyle w:val="FontStyle54"/>
          <w:rFonts w:ascii="Times New Roman" w:hAnsi="Times New Roman" w:cs="Times New Roman"/>
          <w:b/>
          <w:sz w:val="24"/>
          <w:lang w:val="kk-KZ" w:eastAsia="en-US"/>
        </w:rPr>
      </w:pPr>
      <w:r w:rsidRPr="0091328B">
        <w:rPr>
          <w:rStyle w:val="FontStyle54"/>
          <w:rFonts w:ascii="Times New Roman" w:hAnsi="Times New Roman" w:cs="Times New Roman"/>
          <w:b/>
          <w:sz w:val="24"/>
          <w:lang w:val="kk-KZ" w:eastAsia="en-US"/>
        </w:rPr>
        <w:t>Е.3 Последствия стратегии наблюдения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результате процесса валидации системы водоподготовки или подготовки диализирующего раствора устанавливаются достаточные планы технического обслуживания и планового контроля. Основываясь на этих режимах, системный контроль начинается после эксплуатационной квалификации и обеспечивает постоянное соответствие диализирующего раствора и концентратов критериям качества производства для собственного потребления.</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Анализ трендов на основе контроля должен использоваться в качестве источника передовой информации о производительности системы, что позволяет применять упреждающий подход к обслуживанию системы с вытекающими отсюда операционными и финансовыми выгодами.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Наблюдение осуществляется с помощью онлайн-и офлайн-измерений. С помощью современных технологий большинство параметров измеряется в автономном режиме.</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Наблюдение за соответствующими параметрами (такими как проводимость) в режиме реального времени обеспечивает немедленное выявление отклонений от нормальных условий эксплуатации, предлагая следующие преимущества:</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своевременное выявление потенциальных проблем на их ранней стадии;</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быстрая и простая диагностика первопричин (качество поступающей воды/техническая неисправность):</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 -осуществление необходимых контрмер;</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запуск конкретных автономных измерений.</w:t>
      </w:r>
    </w:p>
    <w:p w:rsidR="0091328B" w:rsidRPr="00575488"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Как упоминалось выше, основанный исключительно на времени автономный режим отбора проб имеет неотъемлемые ограничения для наблюдения за непрерывным производственным процессом, поскольку отклонения могут возникать в течение интервалов отбора проб.</w:t>
      </w:r>
    </w:p>
    <w:p w:rsidR="0091328B" w:rsidRDefault="0091328B" w:rsidP="0091328B">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таблице С.1 перечислены возможные параметры наблюдения и соответствующие частоты измерений.</w:t>
      </w:r>
    </w:p>
    <w:p w:rsidR="00575488" w:rsidRDefault="00575488" w:rsidP="0091328B">
      <w:pPr>
        <w:pStyle w:val="Style15"/>
        <w:widowControl/>
        <w:ind w:firstLine="567"/>
        <w:rPr>
          <w:rStyle w:val="FontStyle54"/>
          <w:rFonts w:ascii="Times New Roman" w:hAnsi="Times New Roman" w:cs="Times New Roman"/>
          <w:sz w:val="24"/>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Pr="00575488" w:rsidRDefault="00575488" w:rsidP="00575488">
      <w:pPr>
        <w:pStyle w:val="Style15"/>
        <w:widowControl/>
        <w:ind w:firstLine="0"/>
        <w:jc w:val="center"/>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Приложение F</w:t>
      </w:r>
    </w:p>
    <w:p w:rsidR="00575488" w:rsidRPr="00575488" w:rsidRDefault="00575488" w:rsidP="00575488">
      <w:pPr>
        <w:pStyle w:val="Style15"/>
        <w:widowControl/>
        <w:ind w:firstLine="0"/>
        <w:jc w:val="center"/>
        <w:rPr>
          <w:rStyle w:val="FontStyle54"/>
          <w:rFonts w:ascii="Times New Roman" w:hAnsi="Times New Roman" w:cs="Times New Roman"/>
          <w:i/>
          <w:sz w:val="24"/>
          <w:lang w:val="kk-KZ" w:eastAsia="en-US"/>
        </w:rPr>
      </w:pPr>
      <w:r w:rsidRPr="00575488">
        <w:rPr>
          <w:rStyle w:val="FontStyle54"/>
          <w:rFonts w:ascii="Times New Roman" w:hAnsi="Times New Roman" w:cs="Times New Roman"/>
          <w:i/>
          <w:sz w:val="24"/>
          <w:lang w:val="kk-KZ" w:eastAsia="en-US"/>
        </w:rPr>
        <w:t>(информационное)</w:t>
      </w:r>
    </w:p>
    <w:p w:rsidR="00575488" w:rsidRPr="00575488" w:rsidRDefault="00575488" w:rsidP="00575488">
      <w:pPr>
        <w:pStyle w:val="Style15"/>
        <w:widowControl/>
        <w:ind w:firstLine="0"/>
        <w:jc w:val="center"/>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0"/>
        <w:jc w:val="center"/>
        <w:rPr>
          <w:rStyle w:val="FontStyle54"/>
          <w:rFonts w:ascii="Times New Roman" w:hAnsi="Times New Roman" w:cs="Times New Roman"/>
          <w:b/>
          <w:sz w:val="24"/>
          <w:highlight w:val="yellow"/>
          <w:lang w:val="kk-KZ" w:eastAsia="en-US"/>
        </w:rPr>
      </w:pPr>
      <w:r w:rsidRPr="00575488">
        <w:rPr>
          <w:rStyle w:val="FontStyle54"/>
          <w:rFonts w:ascii="Times New Roman" w:hAnsi="Times New Roman" w:cs="Times New Roman"/>
          <w:b/>
          <w:sz w:val="24"/>
          <w:lang w:val="kk-KZ" w:eastAsia="en-US"/>
        </w:rPr>
        <w:t>Особые рекомендации для гемодиализа на дому</w:t>
      </w:r>
    </w:p>
    <w:p w:rsid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F.1 Общие положения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Качество воды для диализа, используемой для приготовления концентрата и диализирующего раствора, так же важно для домашнего диализа, как и в отделении диализа. Настоящий стандарт предназначен главным образом для рассмотрения оборудования, используемого для отделений диализа. Хотя многие положения настоящего стандарта также применимы к домашнему диализу, последнее лечение может представлять некоторые особые проблемы, не встречающиеся при проведении гемодиализа в центре. Аналогичным образом, домашний диализ может потребовать некоторых отступлений от положений настоящего стандарта, касающихся подготовки диализирующего раствора. В связи с возобновлением интереса к домашнему диализу и, в частности, использованием более частых графиков лечения это приложение было включено в настоящий документ для решения некоторых проблем, связанных с домашним диализом. Рекомендации, включенные в настоящее приложение, применяются к системам очистки воды, собранным из отдельных компонентов. Некоторые рекомендации, содержащиеся в настоящем приложении, могут не применяться к системам домашнего диализа, содержащим интегрированное оборудование для очистки воды, разработанное и утвержденное для производства воды и диализирующего раствора качества, требуемого ISO 23500-3 и ISO 23500-5. Валидированные системы требуют гарантии того, что система эксплуатируется в валидированных условиях. Кроме того, рекомендации настоящего приложения не применяются к системам регенерации диализата на основе сорбентов, которые исключены из сферы применения настоящего стандарта.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Гемодиализ в домашних условиях отличается от гемодиализа в отделении диализа тем, что пациент или помощник будут нести ответственность за повседневную эксплуатацию и техническое обслуживание оборудования для водоподготовки и другого оборудования для диализа. Как правило, эти люди не будут иметь формальной технической подготовки в области гемодиализа. Поэтому отделение диализа должно проводить обучение по эксплуатации и техническому обслуживанию оборудования и требовать демонстрации компетентности в этих областях до начала домашнего лечения.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F.2 Качество жидкости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Вода для диализа, концентрат и диализирующий раствор, используемые для домашнего гемодиализа, должны соответствовать требованиям качества, изложенным в ISO 23500-3, </w:t>
      </w:r>
      <w:r>
        <w:rPr>
          <w:rStyle w:val="FontStyle54"/>
          <w:rFonts w:ascii="Times New Roman" w:hAnsi="Times New Roman" w:cs="Times New Roman"/>
          <w:sz w:val="24"/>
          <w:lang w:val="kk-KZ" w:eastAsia="en-US"/>
        </w:rPr>
        <w:t>разделе</w:t>
      </w:r>
      <w:r w:rsidRPr="00575488">
        <w:rPr>
          <w:rStyle w:val="FontStyle54"/>
          <w:rFonts w:ascii="Times New Roman" w:hAnsi="Times New Roman" w:cs="Times New Roman"/>
          <w:sz w:val="24"/>
          <w:lang w:val="kk-KZ" w:eastAsia="en-US"/>
        </w:rPr>
        <w:t xml:space="preserve"> 4 ISO 23500-4:2019 и </w:t>
      </w:r>
      <w:r>
        <w:rPr>
          <w:rStyle w:val="FontStyle54"/>
          <w:rFonts w:ascii="Times New Roman" w:hAnsi="Times New Roman" w:cs="Times New Roman"/>
          <w:sz w:val="24"/>
          <w:lang w:val="kk-KZ" w:eastAsia="en-US"/>
        </w:rPr>
        <w:t>разделе</w:t>
      </w:r>
      <w:r w:rsidRPr="00575488">
        <w:rPr>
          <w:rStyle w:val="FontStyle54"/>
          <w:rFonts w:ascii="Times New Roman" w:hAnsi="Times New Roman" w:cs="Times New Roman"/>
          <w:sz w:val="24"/>
          <w:lang w:val="kk-KZ" w:eastAsia="en-US"/>
        </w:rPr>
        <w:t xml:space="preserve"> 4 ISO 23500-5:2019.</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F.3 Коммунальные услуги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Чтобы установить в доме аппарат для гемодиализа, ему потребуется водопровод, дренажное соединение и специальный источник питания. Рекомендуется, чтобы коммунальные компании, поставляющие воду и электроэнергию в дом пациента, были уведомлены о том, что в этом месте проводится домашний диализ и что восстановление обслуживания после любого перерыва должно рассматриваться в качестве приоритета.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F.3.1 Водоснабжение</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Если вода подается по муниципальной системе водоснабжения, то она должна соответствовать действующим стандартам на питьевую воду. Периодическая оценка исходной воды должна проводиться для подтверждения того, что она соответствует требованиям настоящего документа.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lastRenderedPageBreak/>
        <w:t>Если вода подается не из муниципальной системы водоснабжения, а из частной скважины, то применимые стандарты питьевой воды могут отличаться в зависимости от количества домохозяйств, которые снабжает скважина. Кроме того, могут также существовать различные нормативные требования в отношении надзора. В связи с этим анализ исходной воды следует проводить чаще, чем в стационарном отделении диализа, особенно если оно расположено в сельской местности. Источник воды в таких ситуациях может подвергаться сезонным изменениям, таким как сильные дожди или наводнения и загрязнение из септиков, подземных резервуаров для хранения топлива или сельскохозяйственных отходов и химикатов. </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Если домашний диализ проводится с использованием интегрированного оборудования для очистки воды, разработанного и утвержденного для производства воды для диализа и диализирующего раствора качества, требуемого ISO 23500-3 и ISO 23500-5, то должна быть проведена адекватная предварительная обработка, чтобы гарантировать, что полученная вода соответствует требованиям, и защитить такие компоненты, как мембрана обратного осмоса.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Водоснабжение должно поддерживать максимальный спрос на компоненты для очистки воды. Трубопроводы для системы с одним пациентом должны быть не менее 1 см в диаметре. Давление воды должно соответствовать минимальным требованиям системы очистки воды, обычно не менее 150 кПа (приблизительно 20 фунтов на квадратный дюйм или 1,5 бар). Другие компоненты в доме, которые используют воду, могут временно снизить давление воды, если они активированы. Эти компоненты включают душевые кабины, туалеты, стиральные машины и посудомоечные машины. Потеря давления воды может привести к отключению системы RO, используемой для диализной очистки воды, тем самым вызывая сигнал тревоги низкого давления воды в диализном аппарате. Если колебания давления воды становятся проблемой, в линии подачи воды в систему очистки воды может быть установлен резервуар для мочевого пузыря, чтобы система могла продолжать работать в периоды низкого давления воды. Дома с индивидуальным снабжением скважины могут нуждаться в увеличении настройки давления скважинного насоса, увеличении размера насоса или установке дожимного насоса, чтобы обеспечить поддержание достаточного давления во время использования тяжелой воды в домашнем хозяйстве.</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изолированных сельских районах температура питательной воды может быть проблемой, особенно зимой. Производительность системы RO зависит от температуры, при этом расход обработанной воды уменьшается по мере снижения температуры. Удаление хлорамина активированным углем также зависит от температуры, причем эффективность удаления уменьшается с уменьшением температуры. Наконец, температура обработанной воды должна соответствовать минимальным требованиям, предъявляемым к диализному аппарату, обычно 10 °С. Если температура воды снижается ниже 10 °С, нагреватель в диализном аппарате может оказаться неспособным повысить температуру до желаемой температуры диализата. Для обеспечения постоянной подачи воды соответствующей температуры может потребоваться закалочный клапан. Если установлен темперирующий клапан, то он должен соответствовать требованиям стандарта ISO 23500-2, а водонагреватель должен быть способен подавать количество горячей воды, необходимое для обеспечения воды желаемой температуры в течение всего периода лечения диализом. Альтернативно, потребность в очищенной воде может быть снижена в периоды пониженной температуры воды за счет снижения расхода диализной жидкости.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Защита от обратного потока должна быть установлена до запуска системы очистки воды в соответствии с любыми требованиями местного сантехнического кодекса. Эти устройства должны проверяться с частотой, указанной в местном сантехническом кодексе.</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F.3.2 Дренаж</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Дренаж должен быть способен поддерживать максимальный поток от диализной машины, системы RO и любого оборудования предварительной очистки воды. Как правило, требуется дренажная труба диаметром 2,5 см или больше. Дренаж должен включать в себя некоторые средства защиты от обратного сифона, такие как воздушный разрыв в потоке сточных вод, чтобы избежать обратного потока из дренажной системы в гемодиализный аппарат или любой компонент очистки воды со сливной линией.</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Если дом обслуживается септиком, то резервуар должен быть в состоянии обрабатывать объем воды, полученной во время процедуры гемодиализа. В зависимости от объема резервуара может оказаться невозможным проведение ежедневного ночного гемодиализа в течение длительного периода времени (8 ч). Еще одним потенциальным ограничением является то, что септическая система будет подвергаться воздействию дезинфицирующих химических веществ (например, гипохлорита натрия, надуксусной кислоты, перекиси водорода), которые могут ухудшить функциональную эффективность. </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F.3.3 Электрическая проводка и электропитание</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При использовании оборудования для гемодиализа в домашних условиях следует учитывать требования руководства IEC/TR 62653:2013 по безопасному использованию медицинских изделий при лечении диализом в отношении электропроводки. Источник питания, используемый для оборудования для гемодиализа, должен соответствовать требованиям IEC 60601-2-16 «Изделия медицинские электрические. Часть 2-16. Частные требования безопасности с учетом основных функциональных характеристик к аппаратам для гемодиализа, гемодиафильтрации и гемофильтрации». </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F.4 Окружающая среда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Гемодиализ включает в себя большие объемы воды и отходов диализата. Незакрепленные соединения труб или неисправность оборудования могут привести к утечкам, которые в свою очередь могут стать причиной повреждения дома. Если оборудование для водоподготовки или диализа расположено на верхнем этаже, протекающие жидкости могут просочиться через пол и повредить потолки на нижних уровнях. Рекомендуется, чтобы зоны, где вода обрабатывается для диализа и в которых проводится диализ, были спроектированы таким образом, чтобы содержать разливы жидкости, когда они происходят. Материал напольного покрытия должен быть соответствующим образом водостойким и легко очищаемым. По этим причинам использование коврового покрытия или деревянного настила в помещении, предназначенном для проведения диализа, не рекомендуется.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Домашний диализ также требует помещения для хранения расходных материалов, в том числе диализного концентрата. Эта зона должна обеспечивать круглогодичную окружающую среду, соответствующую рекомендациям изготовителя по хранению таких материалов или расходных материалов.</w:t>
      </w: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 Оборудование</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F.5.1 Общие положения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Оборудование, выбранное для домашнего гемодиализа, должно быть простым в эксплуатации. Пациент/помощники на дому должны быть официально обучены правильной эксплуатации и техническому обслуживанию оборудования для гемодиализа и вспомогательной очистки воды диализным центром или его назначением.</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Окончательная конфигурация системы очистки воды будет зависеть от качества питательной воды. Как и в случае с диализом в центре, система очистки воды должна быть спроектирована таким образом, чтобы производить диализную воду качества, указанного в ISO 23500-3, при подаче воды, содержащей загрязняющие вещества на </w:t>
      </w:r>
      <w:r w:rsidRPr="00575488">
        <w:rPr>
          <w:rStyle w:val="FontStyle54"/>
          <w:rFonts w:ascii="Times New Roman" w:hAnsi="Times New Roman" w:cs="Times New Roman"/>
          <w:sz w:val="24"/>
          <w:lang w:val="kk-KZ" w:eastAsia="en-US"/>
        </w:rPr>
        <w:lastRenderedPageBreak/>
        <w:t xml:space="preserve">самом высоком ожидаемом уровне. Оборудование для очистки воды может включать фильтры осадка, умягчители, углеродные слои, систему обратного осмоса (RO) или деионизаторы (DI). В зависимости от загрязняющих веществ в воде дополнительное оборудование для очистки воды может включать железные фильтры, деалкалинизаторы и нитратные фильтры. Если иное не указано в ISO 23500-2 или в настоящем документе, оборудование для очистки воды для домашнего гемодиализа должно соответствовать требованиям ISO 23500-2. </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F.5.2 Умягчитель</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Возможно, потребуется смягчитель воды, чтобы предотвратить образование накипи на мембранах системы обратного осмоса из кальция и магния. Для воды с высоким уровнем жесткости удаление кальция и магния с помощью умягчителя может быть необходимо, если система обратного осмоса должна производить диализную воду, соответствующую требованиям 4.2.2 для кальция и магния. Умягчитель обычно не требуется для поддержки системы деионизации.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Умягчители должны регулярно регенерироваться или заменяться. Для регенерации умягчителя следует использовать только хлорид натрия. Хлорид калия не следует использовать для регенерации смягчителя. Кроме того, соль, обозначенная как каменная соль, не должна использоваться для регенерации, поскольку она не очищена и обычно содержит осадки и другие примеси, которые могут повредить уплотнительные кольца и поршни и закупорить отверстия в управляющей головке умягчителя. Однотактные умягчители могут быть настроены на автоматическую регенерацию в установленные дни или после обработки определенного количества воды; кроме того, регенерация может быть инициирована вручную. Умягчители, используемые для гемодиализа, которые регенерируют автоматически, оснащены механизмом предотвращения попадания воды в линейку продуктов во время регенерации. Как правило, таймер на умягчителе не блокируется, чтобы остановить систему обратного осмоса, когда происходит регенерация. Если в это время аппарат для диализа производит диализирующий раствор, то возникает сигнал низкого давления воды. По этой причине следует обратить внимание на установление времени регенерации умягчителя, особенно при проведении ежедневного ночного диализа.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F.5.3 Углеродные среды</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Следует установить по крайней мере один углеродный слой или углеродный фильтр, даже если вода подается из скважины и хлор отсутствует. В дополнение к хлору, углерод может удалять органические загрязнители из грунтовых вод, включая растворители, пестициды, промышленные отходы и вещества, вытекающие из подземных резервуаров для хранения. Если хлор не присутствует в воде, то углерод должен быть изменен по обычному графику. </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При получении воды из муниципального источника водоснабжения, содержащей </w:t>
      </w:r>
      <w:r>
        <w:rPr>
          <w:rStyle w:val="FontStyle54"/>
          <w:rFonts w:ascii="Times New Roman" w:hAnsi="Times New Roman" w:cs="Times New Roman"/>
          <w:sz w:val="24"/>
          <w:lang w:val="kk-KZ" w:eastAsia="en-US"/>
        </w:rPr>
        <w:t xml:space="preserve">                       </w:t>
      </w:r>
      <w:r w:rsidRPr="00575488">
        <w:rPr>
          <w:rStyle w:val="FontStyle54"/>
          <w:rFonts w:ascii="Times New Roman" w:hAnsi="Times New Roman" w:cs="Times New Roman"/>
          <w:sz w:val="24"/>
          <w:lang w:val="kk-KZ" w:eastAsia="en-US"/>
        </w:rPr>
        <w:t xml:space="preserve">1 мг/л или более хлорамина, требуется процесс удаления хлора, включающий резервирование безопасности для удаления хлорамина в соответствии с 4.2.8 </w:t>
      </w:r>
      <w:r>
        <w:rPr>
          <w:rStyle w:val="FontStyle54"/>
          <w:rFonts w:ascii="Times New Roman" w:hAnsi="Times New Roman" w:cs="Times New Roman"/>
          <w:sz w:val="24"/>
          <w:lang w:val="kk-KZ" w:eastAsia="en-US"/>
        </w:rPr>
        <w:t xml:space="preserve">                                 </w:t>
      </w:r>
      <w:r w:rsidRPr="00575488">
        <w:rPr>
          <w:rStyle w:val="FontStyle54"/>
          <w:rFonts w:ascii="Times New Roman" w:hAnsi="Times New Roman" w:cs="Times New Roman"/>
          <w:sz w:val="24"/>
          <w:lang w:val="kk-KZ" w:eastAsia="en-US"/>
        </w:rPr>
        <w:t>ISO 23500-2: 2019.</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F.5.4 Обратный осмос</w:t>
      </w:r>
    </w:p>
    <w:p w:rsid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Поскольку расход продукта будет уменьшаться с уменьшением температуры воды, Система обратного осмоса, установленная без темперирующего клапана для обеспечения постоянной температуры питательной воды, должна быть рассчитана таким образом, чтобы она доставляла необходимое количество воды аппарату для диализа с самой холодной ожидаемой температурой воды.</w:t>
      </w: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F.5.5 Деионизация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Системы деионизации для домашнего гемодиализа должны иметь средство предотвращения попадания обработанной воды в точку использования, если удельное сопротивление воды составляет 1 МОмсм или меньше).</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F.5.6 Распределение воды для диализа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Для домашнего гемодиализа обычно используется система прямого питания для распределения диализной воды по точкам ее использования. Контактирующие с водой поверхности распределительной системы не должны быть изготовлены из материалов, содержащих алюминий, медь, свинец или цинк. Поскольку системы, используемые для домашнего гемодиализа, работают с перебоями, система распределения должна быть спроектирована и поддерживаться таким образом, чтобы свести к минимуму размножение бактерий. Система обратного осмоса должна быть продезинфицирована в соответствии с инструкциями изготовителя. Аппарат для диализа следует дезинфицировать после каждой процедуры в соответствии с инструкциями изготовителя. Поскольку линия подачи диализной воды в диализную машину не дезинфицируется при дезинфекции машины, эта линия должна быть дезинфицирована при дезинфекции системы обратного осмоса, и следует рассмотреть возможность замены этой линии на регулярной основе, например ежегодно. Непрозрачная трубка предпочтительна для этой линии, чтобы уменьшить вероятность роста водорослей; однако трубка должна быть одобрена изготовителем аппарата для диализа. Следует также рассмотреть возможность установки эндотоксинового фильтра в диализном аппарате, если он допускает такую возможность. При установке этот фильтр следует обслуживать и заменять в соответствии с инструкциями изготовителя.</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F.5.7 Предотвращение обратного потока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отличие от центральных систем водоснабжения в больницах, системы водоснабжения, используемые в домах пациентов, в большинстве случаев подключаются непосредственно к системам питьевой воды. Хотя очень маловероятно, что переносная (острая) система очистки воды будет поддерживать и загрязнять систему питьевой воды, предотвращение обратного потока считается необходимой и безопасной мерой предосторожности для этих систем. Устройство предотвращения обратного потока, такое как основанный на давлении узел обратного потока или вакуумный выключатель, должно быть установлено в точке подключения к системе питьевой воды. В некоторых случаях местные нормы могут потребовать устройства «Ьгеак tank» в качестве предпочтительного метода предотвращения обратного потока. Проектировщики портативных систем очистки воды должны учитывать возможные перепады давления и их влияние на нижележащие компоненты при калибровке таких устройств. Устройства для предотвращения обратного потока должны быть протестированы и обслуживаться в соответствии с местными нормами, касающимися водопроводных систем.</w:t>
      </w:r>
    </w:p>
    <w:p w:rsid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Отработанный диализирующий раствор и отбракованная вода из блока системы обратного осмоса должны сливаться в дренаж таким образом, чтобы свести к минимуму вероятность загрязнения зоны ухода за пациентом и аппарата для диализа. Для этой цели следует использовать соответствующий напольный спив или стояк, соединенный со сливом раковины. Если такой дренаж отсутствует, отработанная диализная жидкость и отбракованная обратным осмосом вода могут быть сброшены в раковину. Если такой разряд используется, раковину не следует использовать для других целей во время диализа, и следует позаботиться о том, чтобы правильно очистить раковину после лечения. Во всех случаях в месте разгрузки должен быть воздушный зазор, чтобы предотвратить обратный поток в аппарат для диализа.</w:t>
      </w: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F.5.8 Электробезопасность</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Следует учитывать требования IEC/TR 62653 в отношении электропроводки. Источник питания, используемый для оборудования водоочистки, должен соответствовать требованиям IEC 60601-1-11:2015 «Изделия медицинские электрические. Часть 1-11. Общие требования безопасности с учетом основных функциональных характеристик. Дополнительный стандарт. Требования к медицинскому оборудованию и системам, используемым для ухода за больными в домашней среде». </w:t>
      </w:r>
    </w:p>
    <w:p w:rsid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Портативные системы водоподготовки должны соответствовать применимым стандартам электробезопасности, касающимся электростатического разряда (ESD), электромагнитной совместимости (ЕМС) и любым другим стандартам электробезопасности, указанным в IEC 60601-1-11:2015 «Изделия медицинские электрические. Часть 1-11. Общие требования безопасности с учетом основных функциональных характеристик. Дополнительный стандарт. Требования к медицинскому оборудованию и системам, используемым для ухода за больными в домашней среде». Крайне важно, чтобы электрический шум и утечка тока были сведены к минимуму в общих прикроватных условиях. В этих средах, вероятно, есть оборудование для поддержания жизни, такое как вентиляторы, для которых потеря функции из-за электрических помех может вызвать медицинскую чрезвычайную ситуацию. Проверка электробезопасности должна проводиться не реже одного раза в год. Проверка электробезопасности также должна проводиться после ремонта, связанного с системой электроснабжения, включая ремонт шнуров питания и колпачков шнура питания. Корпуса компонентов портативной системы водоподготовки должны обладать уровнем водонепроницаемости IPX 1 согласно IEC 60529. Постоянный контроль за системой водоснабжения необходим для поддержания методов очистки в соответствии с требованиями безопасности.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F.6 Концентрат</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F.6.1 Бикарбонатный концентрат</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Избыток бикарбонатного концентрата следует выбрасывать после каждой обработки.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Контейнеры с бикарбонатным концентратом (если они используются повторно) и трубки для сбора концентрата должны дезинфицироваться не реже одной недели или с периодичностью, требуемой местными требованиями к эксплуатационным процедурам. После дезинфекции их следует промыть очищенной водой, дать высохнуть на воздухе и хранить перевернутыми в конце каждого дня обработки. Если контейнеры для концентрата не используются повторно, их следует выбросить в соответствии с местными требованиями.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Если раствор бикарбоната приготовлен из порошка, пациент/помощники должны быть соответствующим образом обучены, чтобы убедиться, что приготовление раствора происходит в соответствии с документированными процедурами.</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F.6.2 Кислотосодержащий концентрат</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Пациент/помощники должны быть обучены тому, что различные аппараты для гемодиализа используют различные пропорции для концентрата и воды и что они должны обеспечить использование правильного кислотного концентрата для своего аппарата для гемодиализа. Используемый кислотный концентрат должен быть задокументирован как часть протокола обработки.</w:t>
      </w: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F.7 Контроль</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F.7.1 Качество воды для диализа и диализирующего раствора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Химическое качество диализной воды должно анализироваться не реже одного раза в год, чтобы убедиться, что она соответствует требованиям стандарта ISO 23500-3. Более частый анализ может потребоваться, если существуют сезонные колебания качества исходной воды или если исходная вода подается из скважины. При любом ремонте оборудования для очистки воды следует оценить влияние на качество диализной воды и провести химический анализ, если это необходимо. Химические испытания могут не потребоваться при замене расходуемых компонентов, таких как фильтры или другие компоненты, определенные изготовителем как требующие регулярной замены при нормальном использовании. Химические испытания могут не потребоваться, если все устройство для очистки воды заменяется эквивалентным устройством, которое было проверено изготовителем в соответствии с эквивалентными эксплуатационными характеристиками заменяемого устройства.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Микробиологическое качество диализной жидкости должно быть проанализировано с использованием культур и измерений эндотоксинов. Если диализная жидкость соответствует рекомендациям ISO 23500-5, то можно предположить, что диализная вода, питающая диализный аппарат, и бикарбонатный концентрат отвечают соответствующим требованиям. Отбор проб для микробиологического исследования следует проводить перед дезинфекцией системы очистки воды и диализного аппарата. Чтобы избежать отсоединения шлангов и открытия системы для возможного загрязнения, система должна быть спроектирована с необходимыми отверстиями для отбора проб. Для получения значимых результатов необходимо создать систему, обеспечивающую надлежащий сбор образцов и их своевременное представление в испытательную лабораторию. </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рамках подготовки к домашнему гемодиализу пациенты/помощники должны быть проинструктированы о любом сборе проб для анализа качества воды и диализирующего раствора, который они должны будут выполнять дома. Если образец собирается кем-то другим, кроме пациента/помощника, этот человек также должен быть обучен правильным процедурам сбора и тестирования образцов.</w:t>
      </w: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F.7.2 Оборудование</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F.7.2.1 Общие положения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Регистрационный лист должен быть предоставлен отделением диализа и использоваться для регистрации всех показателей эффективности системы водоподготовки, требуемых изготовителем оборудования или отделением диализа. Измерения следует проводить не менее чем через 15 мин после ввода в эксплуатацию системы водоподготовки и до начала диализа.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Если обнаружится, что какой-либо показатель эффективности системы водоподготовки выходит за пределы допустимого диапазона, следует уведомить об этом центр диализа. </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F.7.2.2 Картриджный фильтр</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Регулярное наблюдение за перепадом давления (АР) на осадочном фильтре может быть использовано в домашних условиях для определения того, когда осадочный фильтр имеет повышенное сопротивление потоку. Системы для использования в домашних условиях, которые способны обнаруживать пониженные условия потока через осадочный фильтр альтернативными методами (такими как наблюдение за потоком или недостаточное обнаружение питательной воды), также должны считаться приемлемыми для определения замены осадочного фильтра.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F.7.2.3 Умягчитель</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Жесткость воды следует контролировать перед каждой обработкой, используя образец, полученный через маркированный порт образца, расположенный между умягчителем и мембранами обратного осмоса, или из линии отбраковки из системы обратного осмоса. Для испытаний на твердость, требующих дифференциации цвета, лицо, проводящее анализ, должно быть в состоянии различать цветовые результаты критериев испытания. Если человек не может различить эти цвета, следует использовать автоматический анализатор. </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F.7.2.4 Углеродные среды</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Если исходная вода содержит хлорамин в концентрации 1 мг/л или более, то перед каждой обработкой следует проверять общую концентрацию хлора. Пациент/помощник должен быть обучен тому, как проводить общий анализ хлора, и должен быть обучен тому, какие действия следует предпринять, если общий хлор обнаружен в количестве выше указанного предела. В зависимости от используемого теста пациент/помощник должны быть способны различать разные оттенки цвета или использовать цифровой анализатор для определения общей концентрации хлора.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F.7.2.5 Обратный осмос</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Перед каждой обработкой производительность системы обратного осмоса должна контролироваться путем проверки проводимости очищенной воды и процента отбраковки.</w:t>
      </w:r>
    </w:p>
    <w:p w:rsid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F.8 Персонал</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Политика и процедуры, понятные пациенту и/или помощнику, являются обязательными наряду с учебной программой, включающей тестирование качества, риски и опасности неправильно приготовленного концентрата и бактериальные проблемы.</w:t>
      </w:r>
    </w:p>
    <w:p w:rsidR="00575488" w:rsidRDefault="00575488" w:rsidP="00575488">
      <w:pPr>
        <w:pStyle w:val="Style15"/>
        <w:widowControl/>
        <w:ind w:firstLine="567"/>
        <w:rPr>
          <w:rStyle w:val="FontStyle54"/>
          <w:rFonts w:ascii="Times New Roman" w:hAnsi="Times New Roman" w:cs="Times New Roman"/>
          <w:sz w:val="24"/>
          <w:highlight w:val="yellow"/>
          <w:lang w:val="kk-KZ" w:eastAsia="en-US"/>
        </w:rPr>
      </w:pPr>
      <w:r w:rsidRPr="00575488">
        <w:rPr>
          <w:rStyle w:val="FontStyle54"/>
          <w:rFonts w:ascii="Times New Roman" w:hAnsi="Times New Roman" w:cs="Times New Roman"/>
          <w:sz w:val="24"/>
          <w:lang w:val="kk-KZ" w:eastAsia="en-US"/>
        </w:rPr>
        <w:t>Лица, эксплуатирующие оборудование в домашних условиях, должны быть соответствующим образом обучены. Обучение должно быть специфичным для выполняемых функций. Следует централизованно вести учет обучения и периодически проверять соответствие оператора по установленным процедурам.</w:t>
      </w:r>
    </w:p>
    <w:p w:rsidR="00575488" w:rsidRPr="00575488" w:rsidRDefault="00575488" w:rsidP="0091328B">
      <w:pPr>
        <w:pStyle w:val="Style15"/>
        <w:widowControl/>
        <w:ind w:firstLine="567"/>
        <w:rPr>
          <w:rStyle w:val="FontStyle54"/>
          <w:rFonts w:ascii="Times New Roman" w:hAnsi="Times New Roman" w:cs="Times New Roman"/>
          <w:sz w:val="24"/>
          <w:highlight w:val="yellow"/>
          <w:lang w:val="kk-KZ" w:eastAsia="en-US"/>
        </w:rPr>
      </w:pPr>
    </w:p>
    <w:p w:rsidR="0091328B" w:rsidRDefault="0091328B"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Default="00575488" w:rsidP="00575488">
      <w:pPr>
        <w:pStyle w:val="Style15"/>
        <w:widowControl/>
        <w:ind w:firstLine="0"/>
        <w:rPr>
          <w:rStyle w:val="FontStyle54"/>
          <w:rFonts w:ascii="Times New Roman" w:hAnsi="Times New Roman" w:cs="Times New Roman"/>
          <w:b/>
          <w:sz w:val="24"/>
          <w:highlight w:val="yellow"/>
          <w:lang w:val="kk-KZ" w:eastAsia="en-US"/>
        </w:rPr>
      </w:pPr>
    </w:p>
    <w:p w:rsidR="00575488" w:rsidRPr="00575488" w:rsidRDefault="00575488" w:rsidP="00575488">
      <w:pPr>
        <w:pStyle w:val="Style15"/>
        <w:widowControl/>
        <w:ind w:firstLine="0"/>
        <w:jc w:val="center"/>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lastRenderedPageBreak/>
        <w:t>Приложение G</w:t>
      </w:r>
    </w:p>
    <w:p w:rsidR="00575488" w:rsidRPr="00575488" w:rsidRDefault="00575488" w:rsidP="00575488">
      <w:pPr>
        <w:pStyle w:val="Style15"/>
        <w:widowControl/>
        <w:ind w:firstLine="0"/>
        <w:jc w:val="center"/>
        <w:rPr>
          <w:rStyle w:val="FontStyle54"/>
          <w:rFonts w:ascii="Times New Roman" w:hAnsi="Times New Roman" w:cs="Times New Roman"/>
          <w:i/>
          <w:sz w:val="24"/>
          <w:lang w:val="kk-KZ" w:eastAsia="en-US"/>
        </w:rPr>
      </w:pPr>
      <w:r w:rsidRPr="00575488">
        <w:rPr>
          <w:rStyle w:val="FontStyle54"/>
          <w:rFonts w:ascii="Times New Roman" w:hAnsi="Times New Roman" w:cs="Times New Roman"/>
          <w:i/>
          <w:sz w:val="24"/>
          <w:lang w:val="kk-KZ" w:eastAsia="en-US"/>
        </w:rPr>
        <w:t>(информационное)</w:t>
      </w:r>
    </w:p>
    <w:p w:rsidR="00575488" w:rsidRDefault="00575488" w:rsidP="00575488">
      <w:pPr>
        <w:pStyle w:val="Style15"/>
        <w:widowControl/>
        <w:ind w:firstLine="0"/>
        <w:jc w:val="center"/>
        <w:rPr>
          <w:rStyle w:val="FontStyle54"/>
          <w:rFonts w:ascii="Times New Roman" w:hAnsi="Times New Roman" w:cs="Times New Roman"/>
          <w:b/>
          <w:sz w:val="24"/>
          <w:lang w:val="kk-KZ" w:eastAsia="en-US"/>
        </w:rPr>
      </w:pPr>
    </w:p>
    <w:p w:rsidR="00575488" w:rsidRPr="0091328B" w:rsidRDefault="00575488" w:rsidP="00575488">
      <w:pPr>
        <w:pStyle w:val="Style15"/>
        <w:widowControl/>
        <w:ind w:firstLine="0"/>
        <w:jc w:val="center"/>
        <w:rPr>
          <w:rStyle w:val="FontStyle54"/>
          <w:rFonts w:ascii="Times New Roman" w:hAnsi="Times New Roman" w:cs="Times New Roman"/>
          <w:b/>
          <w:sz w:val="24"/>
          <w:highlight w:val="yellow"/>
          <w:lang w:val="kk-KZ" w:eastAsia="en-US"/>
        </w:rPr>
      </w:pPr>
      <w:r w:rsidRPr="00575488">
        <w:rPr>
          <w:rStyle w:val="FontStyle54"/>
          <w:rFonts w:ascii="Times New Roman" w:hAnsi="Times New Roman" w:cs="Times New Roman"/>
          <w:b/>
          <w:sz w:val="24"/>
          <w:lang w:val="kk-KZ" w:eastAsia="en-US"/>
        </w:rPr>
        <w:t>Особые рекомендации для острого диализа</w:t>
      </w:r>
    </w:p>
    <w:p w:rsidR="00575488" w:rsidRDefault="00575488" w:rsidP="004636A8">
      <w:pPr>
        <w:pStyle w:val="Style15"/>
        <w:widowControl/>
        <w:ind w:firstLine="0"/>
        <w:jc w:val="center"/>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G.1 Общие положения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Положения, включенные в настоящее приложение, распространяются на оборудование, используемое для водоподготовки для приготовления концентратов и диализирующего раствора для проведения острого диализа в условиях стационара. В настоящем приложении рассматриваются портативные системы водоподготовки, предназначенные для использования с системой доставки диализа для проведения процедуры диализа у постели больного. Это приложение не распространяется на оборудование, используемое в центральных системах, которые обеспечивают три или более точек использования в комнате «острого диализа». Эти системы считаются «центральными» системами водоснабжения и, таким образом, подпадают под общие руководящие указания настоящего стандарта. Оборудование, используемое для одного пациента на дому или в доме престарелых, не входит в область применения настоящего приложения, поскольку оно подпадает под область применения приложения F.</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Рекомендации, изложенные в настоящем стандарте, в целом применимы в условиях острой ситуации с добавлением руководящих указаний, содержащихся в настоящем приложении. Если используются менее строгие подходы, то ответственность за обеспечение надлежащего качества воды для диализа лежит на пользователе за счет усиления контроля и технического обслуживания системы водоподготовки.</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G.2 Качество жидкости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Вода и концентрат, используемые для приготовления диализной жидкости для острого гемодиализа, должны соответствовать требованиям качества, изложенным в </w:t>
      </w:r>
      <w:r>
        <w:rPr>
          <w:rStyle w:val="FontStyle54"/>
          <w:rFonts w:ascii="Times New Roman" w:hAnsi="Times New Roman" w:cs="Times New Roman"/>
          <w:sz w:val="24"/>
          <w:lang w:val="kk-KZ" w:eastAsia="en-US"/>
        </w:rPr>
        <w:t xml:space="preserve">                     </w:t>
      </w:r>
      <w:r w:rsidRPr="00575488">
        <w:rPr>
          <w:rStyle w:val="FontStyle54"/>
          <w:rFonts w:ascii="Times New Roman" w:hAnsi="Times New Roman" w:cs="Times New Roman"/>
          <w:sz w:val="24"/>
          <w:lang w:val="kk-KZ" w:eastAsia="en-US"/>
        </w:rPr>
        <w:t xml:space="preserve">ISO 23500-3 и </w:t>
      </w:r>
      <w:r>
        <w:rPr>
          <w:rStyle w:val="FontStyle54"/>
          <w:rFonts w:ascii="Times New Roman" w:hAnsi="Times New Roman" w:cs="Times New Roman"/>
          <w:sz w:val="24"/>
          <w:lang w:val="kk-KZ" w:eastAsia="en-US"/>
        </w:rPr>
        <w:t>разделе</w:t>
      </w:r>
      <w:r w:rsidRPr="00575488">
        <w:rPr>
          <w:rStyle w:val="FontStyle54"/>
          <w:rFonts w:ascii="Times New Roman" w:hAnsi="Times New Roman" w:cs="Times New Roman"/>
          <w:sz w:val="24"/>
          <w:lang w:val="kk-KZ" w:eastAsia="en-US"/>
        </w:rPr>
        <w:t xml:space="preserve"> 4 ISO 23500-4:2019 соответственно.</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Диализирующий раствор, приготовленный из воды для диализа и концентрата для использования при остром гемодиализе, должна соответствовать требованиям качества, изложенным в </w:t>
      </w:r>
      <w:r>
        <w:rPr>
          <w:rStyle w:val="FontStyle54"/>
          <w:rFonts w:ascii="Times New Roman" w:hAnsi="Times New Roman" w:cs="Times New Roman"/>
          <w:sz w:val="24"/>
          <w:lang w:val="kk-KZ" w:eastAsia="en-US"/>
        </w:rPr>
        <w:t>разделе</w:t>
      </w:r>
      <w:r w:rsidRPr="00575488">
        <w:rPr>
          <w:rStyle w:val="FontStyle54"/>
          <w:rFonts w:ascii="Times New Roman" w:hAnsi="Times New Roman" w:cs="Times New Roman"/>
          <w:sz w:val="24"/>
          <w:lang w:val="kk-KZ" w:eastAsia="en-US"/>
        </w:rPr>
        <w:t xml:space="preserve"> 4 ISO 23500-5:2019.</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Контроль за подтверждением соответствия химическим требованиям к качеству должен осуществляться в соответствии с положениями </w:t>
      </w:r>
      <w:r>
        <w:rPr>
          <w:rStyle w:val="FontStyle54"/>
          <w:rFonts w:ascii="Times New Roman" w:hAnsi="Times New Roman" w:cs="Times New Roman"/>
          <w:sz w:val="24"/>
          <w:lang w:val="kk-KZ" w:eastAsia="en-US"/>
        </w:rPr>
        <w:t>раздела</w:t>
      </w:r>
      <w:r w:rsidRPr="00575488">
        <w:rPr>
          <w:rStyle w:val="FontStyle54"/>
          <w:rFonts w:ascii="Times New Roman" w:hAnsi="Times New Roman" w:cs="Times New Roman"/>
          <w:sz w:val="24"/>
          <w:lang w:val="kk-KZ" w:eastAsia="en-US"/>
        </w:rPr>
        <w:t xml:space="preserve"> 7 и G.3, за исключением того, что, как правило, наблюдение не требуется в дни, когда оборудование не эксплуатируется.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Соответствие микробиологическим требованиям качества ISO 23500-3 и </w:t>
      </w:r>
      <w:r>
        <w:rPr>
          <w:rStyle w:val="FontStyle54"/>
          <w:rFonts w:ascii="Times New Roman" w:hAnsi="Times New Roman" w:cs="Times New Roman"/>
          <w:sz w:val="24"/>
          <w:lang w:val="kk-KZ" w:eastAsia="en-US"/>
        </w:rPr>
        <w:t>раздела</w:t>
      </w:r>
      <w:r w:rsidRPr="00575488">
        <w:rPr>
          <w:rStyle w:val="FontStyle54"/>
          <w:rFonts w:ascii="Times New Roman" w:hAnsi="Times New Roman" w:cs="Times New Roman"/>
          <w:sz w:val="24"/>
          <w:lang w:val="kk-KZ" w:eastAsia="en-US"/>
        </w:rPr>
        <w:t xml:space="preserve"> 4 ISO 23500-5:2019 требует регулярной и частой дезинфекции оборудования в сочетании с тестированием для подтверждения соответствия этим требованиям. Если результаты испытаний не показывают соответствия требованиям, следует принять меры по изменению частоты и/или процедуры дезинфекции и испытаний до тех пор, пока соответствие не будет доказано.</w:t>
      </w:r>
    </w:p>
    <w:p w:rsid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Поскольку пациенты в остром состоянии, вероятно, более восприимчивы к микробиологическим загрязнителям в диализате может быть целесообразно использование ультрачистого диализирующего раствора.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 Оборудование</w:t>
      </w:r>
    </w:p>
    <w:p w:rsid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G.3.1 Общие положения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Этот подраздел содержит специальные рекомендации по оборудованию для водоподготовки для гемодиализа при остром состоянии. Общие требования и </w:t>
      </w:r>
      <w:r w:rsidRPr="00575488">
        <w:rPr>
          <w:rStyle w:val="FontStyle54"/>
          <w:rFonts w:ascii="Times New Roman" w:hAnsi="Times New Roman" w:cs="Times New Roman"/>
          <w:sz w:val="24"/>
          <w:lang w:val="kk-KZ" w:eastAsia="en-US"/>
        </w:rPr>
        <w:lastRenderedPageBreak/>
        <w:t>рекомендации к оборудованию, используемому для водоподготовки для целей гемодиализа, содержащиеся в стандартах ISO 23500-3 и ISO 23500-2, применяются, если в настоящем приложении не указано иное.</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Монтажник и пользователь систем водоподготовки для гемодиализа при остром состоянии несут ответственность за обеспечение того, чтобы вода, производимая системой, соответствовала максимально допустимым уровням химических и микробиологических загрязнений, указанным в пункте 4 стандарта ISO 23500-3, или предписанию врача при установке. Помимо этой квалификации, врач, отвечающий за острый диализ, или его представитель несут ответственность за мониторинг </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системы для обеспечения того, чтобы очистное устройство или устройства поддерживали уровень качества воды, соответствующий требованиям </w:t>
      </w:r>
      <w:r>
        <w:rPr>
          <w:rStyle w:val="FontStyle54"/>
          <w:rFonts w:ascii="Times New Roman" w:hAnsi="Times New Roman" w:cs="Times New Roman"/>
          <w:sz w:val="24"/>
          <w:lang w:val="kk-KZ" w:eastAsia="en-US"/>
        </w:rPr>
        <w:t>раздела</w:t>
      </w:r>
      <w:r w:rsidRPr="00575488">
        <w:rPr>
          <w:rStyle w:val="FontStyle54"/>
          <w:rFonts w:ascii="Times New Roman" w:hAnsi="Times New Roman" w:cs="Times New Roman"/>
          <w:sz w:val="24"/>
          <w:lang w:val="kk-KZ" w:eastAsia="en-US"/>
        </w:rPr>
        <w:t xml:space="preserve"> 4 стандарта ISO 23500-3.</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Когда пациенты получают лечение в острых условиях, оборудование для диализа доставляется к постели пациента и подключается к ближайшему водопроводу. Такие поставки могут содержать химические вещества, добавляемые в воду внутри больниц для обеспечения того, чтобы распределительная сеть была свободна от патогенов (например, легионелл, псевдомонад и микобактерий), и подчеркивают необходимость того, чтобы персонал, ответственный за диализ в условиях почечной или интенсивной терапии, был осведомлен о любых потенциальных последствиях, которые дезинфекция больничной системы очистки воды может оказать на очищенную воду, используемую для приготовления диализирующего раствора.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При выборе переносных систем водоподготовки следует также учитывать сезонное или наихудшее качество воды. Рекомендуется использовать предварительную обработку для удаления загрязнений, которые могут ухудшить производительность портативной системы обратного осмоса (RO) или деионизации (DI).</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Любая процедура технического обслуживания, связанная с оборудованием для очистки воды, такая как замена отработавших компонентов, должна выполняться, когда ни один пациент не подключен к системе доставки диализа.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G.3.2 Предотвращение обратного потока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В отличие от централизованных систем водоснабжения в отдельно стоящих клиниках диализа, острые системы водоснабжения в большинстве случаев подключаются непосредственно к системам питьевой воды. Хотя очень маловероятно, что переносная (острая) система водоподготовки будет задерживать и загрязнять систему питьевой воды, предотвращение обратного потока считается необходимой и безопасной мерой предосторожности для этих систем. Устройство предотвращения обратного потока, такое как основанный на давлении узел обратного потока или вакуумный выключатель, должно быть установлено в точке подключения к системе питьевой воды. В некоторых случаях местные нормы могут потребовать устройства «Ьгеак tank» в качестве предпочтительного метода предотвращения обратного потока. Проектировщики портативных систем очистки воды должны учитывать возможные перепады давления и их влияние на нижележащие компоненты при калибровке таких устройств. Устройства для предотвращения обратного потока должны быть протестированы и обслуживаться в соответствии с местными нормами, касающимися водопроводных систем.</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Отработанная диализная жидкость и отбракованная вода из блока системы обратного осмоса должны сливаться в дренаж таким образом, чтобы свести к минимуму вероятность загрязнения зоны ухода за пациентом и аппарата для диализа. Для этой цели следует использовать соответствующий напольный слив или стояк, соединенный со сливом раковины. Если такой дренаж отсутствует, отработанный диализирующий раствор и отбракованная обратным осмосом вода могут быть сброшены в раковину. В этом случае раковину не следует использовать для других целей во время диализа, и следует </w:t>
      </w:r>
      <w:r w:rsidRPr="00575488">
        <w:rPr>
          <w:rStyle w:val="FontStyle54"/>
          <w:rFonts w:ascii="Times New Roman" w:hAnsi="Times New Roman" w:cs="Times New Roman"/>
          <w:sz w:val="24"/>
          <w:lang w:val="kk-KZ" w:eastAsia="en-US"/>
        </w:rPr>
        <w:lastRenderedPageBreak/>
        <w:t>позаботиться о том, чтобы правильно очистить раковину после лечения. Во всех случаях в месте разгрузки должен быть воздушный зазор, чтобы предотвратить обратный поток в аппарат для диализа.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G.3.3 Электробезопасность</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Следует учитывать требования IEC/TR 62653 в отношении электропроводки. Источник питания, используемый для оборудования для гемодиализа, должен соответствовать требованиям IEC 60601-2-16. Источник питания, используемый для оборудования водоподготовки, должен соответствовать требованиям IEC 60601-1-11:2015.</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Портативные системы водоподготовки должны соответствовать применимым стандартам электробезопасности, касающимся электростатического разряда (ESD), электромагнитной совместимости (ЕМС) и любым другим стандартам электробезопасности, указанным в IEC 60601-1-11:2015. Крайне важно, чтобы электрический шум и утечка тока были сведены к минимуму как в отделении интенсивной терапии, так и в общих прикроватных условиях. В этих средах, вероятно, есть оборудование для поддержания жизни, такое как вентиляторы, для которых потеря функции из-за электрических помех может вызвать медицинскую чрезвычайную ситуацию. Проверка электробезопасности должна проводиться не реже одного раза в год. Проверка электробезопасности также должна проводиться после ремонта, связанного с системой электроснабжения, включая ремонт шнуров питания и колпачков шнура питания. Корпуса компонентов портативной системы очистки воды должны обладать уровнем водонепроницаемости, равным IPX 1 в соответствии с IEC 60529:1989+AMD1:1999+AMD2:2013 CSV консолидированная версия. Степень защиты обеспечивается корпусами (IP-код), а именно защитой прибора от капающей сверху воды в течение не менее 10 минут. Постоянный надзор за системой водоснабжения необходим для поддержания методов очистки в соответствии с требованиями безопасности.  </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G.3.4 Углеродные среды</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Пациенты в остром состоянии могут быть менее способны справиться с преждевременным прорывом хлора/хлорамина, чем стабильные пациенты, проходящие лечение в амбулаторном учреждении из-за сопутствующих заболеваний. Там, где это практически возможно, когда городская вода содержит хлорамин в концентрации 1 мг/ л или более, портативные системы очистки воды должны включать последовательно два углеродных слоя, которые вместе обеспечивают минимум 10-минутное время контакта частиц с водой (ЕВСТ). Исторически сложилось так, что требование о двух последовательных углеродных слоях было отменено для портативных систем диализа из-за непрактичности обеспечения этих функций при сохранении портативности системы. Однако в настоящее время существуют альтернативные технологии, позволяющие обеспечить мобильность при сохранении избыточности, связанной с двумя последовательными слоями углерода. Некоторые портативные системы обратного осмоса используют один гранулированный резервуар с активированным углем (GAC), за которым следует плотный углеродный блок в качестве полировщика. В качестве альтернативы опыт показывает, что можно использовать два последовательно установленных угольных блочных фильтра, рассчитанных в соответствии с NSF на минимальную емкость восстановления хлора 150 м</w:t>
      </w:r>
      <w:r w:rsidRPr="00575488">
        <w:rPr>
          <w:rStyle w:val="FontStyle54"/>
          <w:rFonts w:ascii="Times New Roman" w:hAnsi="Times New Roman" w:cs="Times New Roman"/>
          <w:sz w:val="24"/>
          <w:vertAlign w:val="superscript"/>
          <w:lang w:val="kk-KZ" w:eastAsia="en-US"/>
        </w:rPr>
        <w:t>3</w:t>
      </w:r>
      <w:r w:rsidRPr="00575488">
        <w:rPr>
          <w:rStyle w:val="FontStyle54"/>
          <w:rFonts w:ascii="Times New Roman" w:hAnsi="Times New Roman" w:cs="Times New Roman"/>
          <w:sz w:val="24"/>
          <w:lang w:val="kk-KZ" w:eastAsia="en-US"/>
        </w:rPr>
        <w:t xml:space="preserve"> (приблизительно 40000 галлонов) при расходе 7,7 л/мин (2 галлона/мин) и входящей концентрации свободного хлора 2 мг/л. При использовании угольные блочные фильтры должны быть предназначены для удаления хлорамина. Блочные углеродные фильтры, используемые в этом приложении, не должны нарушать требования к питательной воде, установленные изготовителем системы обратного осмоса. Тестирование, чтобы продемонстрировать, что уровень общего хлора составляет менее </w:t>
      </w:r>
      <w:r>
        <w:rPr>
          <w:rStyle w:val="FontStyle54"/>
          <w:rFonts w:ascii="Times New Roman" w:hAnsi="Times New Roman" w:cs="Times New Roman"/>
          <w:sz w:val="24"/>
          <w:lang w:val="kk-KZ" w:eastAsia="en-US"/>
        </w:rPr>
        <w:t xml:space="preserve">          </w:t>
      </w:r>
      <w:r w:rsidRPr="00575488">
        <w:rPr>
          <w:rStyle w:val="FontStyle54"/>
          <w:rFonts w:ascii="Times New Roman" w:hAnsi="Times New Roman" w:cs="Times New Roman"/>
          <w:sz w:val="24"/>
          <w:lang w:val="kk-KZ" w:eastAsia="en-US"/>
        </w:rPr>
        <w:t xml:space="preserve">0,1 мг/л, должно проводиться перед каждой обработкой с использованием образца, полученного из порта, расположенного между двумя слоями или фильтрами. </w:t>
      </w:r>
      <w:r w:rsidRPr="00575488">
        <w:rPr>
          <w:rStyle w:val="FontStyle54"/>
          <w:rFonts w:ascii="Times New Roman" w:hAnsi="Times New Roman" w:cs="Times New Roman"/>
          <w:sz w:val="24"/>
          <w:lang w:val="kk-KZ" w:eastAsia="en-US"/>
        </w:rPr>
        <w:lastRenderedPageBreak/>
        <w:t>Оборудование должно быть позволено работать в течение не менее 15 мин до того, как будет извлечен испытательный образец. Для длительных процедур, таких как устойчивый низкоэффективный диализ (SLED), тестирование может проводиться примерно каждые 8 ч при условии, что ЕВСТ углеродной среды основана на скорости потока диализата не менее 500 мл/мин, а фактическая скорость потока диализата не превышает 300 мл/мин. В тех случаях, когда невозможно обеспечить эквивалент 10-минутного ЕВСТ с углеродом, практические альтернативы включают добавление аскорбиновой кислоты в кислотный концентрат или более частое наблюдение за обработанной водой во время диализной обработки.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Программы острого диализа должны определить, содержит ли питьевая вода, поставляемая больницей или другим поставщиком воды, вторичные дезинфицирующие средства, и потребовать, чтобы они были заранее уведомлены об использовании вторичных дезинфицирующих средств, чтобы обеспечить возможность оценки их влияния на качество воды и безопасность пациентов. Примером вторичной дезинфекции может служить установка системы, генерирующей диоксид хлора. В том случае, если диоксид хлора присутствует в питьевой воде, и в отсутствие данных о гемолитическом потенциале диоксида хлора, предлагается, чтобы в промежуточный период уровни диоксида хлора измерялись с помощью имеющегося в продаже испытательного комплекта и чтобы максимально допустимый уровень диоксида хлора был установлен на уровне 0,1 мг/л.</w:t>
      </w:r>
    </w:p>
    <w:p w:rsid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G.3.5 Ионный обмен</w:t>
      </w:r>
    </w:p>
    <w:p w:rsid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G.3.5.1 Деионизация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Когда деионизация является основным методом очистки воды, рекомендуется использовать два переносных резервуара DI со смешанным слоем в конфигурации рабочий-полировщик. В качестве альтернативы можно установить катионный резервуар и анионный резервуар, а затем резервуар со смешанным слоем. Полировальный картридж DI может также использоваться после портативного RO, когда химический состав исходной воды таков, что портативный RO сам по себе не будет производить воду, соответствующую требованиям качества ISO 23500-3. Системы деионизации для острого гемодиализа должны иметь механизм предотвращения попадания обработанной воды в точку использования, если удельное сопротивление воды составляет 1 МОм-см или меньше. DI должен сопровождаться ультрафильтром или другим устройством для удержания бактерий и эндотоксинов для удаления микробиологических загрязнений, которые возникают в слое смолы деионизатора.</w:t>
      </w: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G.3.5.2 Умягчители</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Если иное не указано изготовителем системы обратного осмоса, системы очистки воды, представленные поступающей водой с жесткостью &gt;10 GPG (эквивалентной 170 ррт карбоната кальция или 10°dH), должны иметь смягчитель или другие средства предотвращения образования накипи. При более низких уровнях жесткости (&lt;10 GPG) пользователь может отказаться от использования умягчителя, увеличив частоту очистки мембран от накипи (кислотной очистки) или периодически заменяя мембраны обратного осмоса в соответствии с инструкциями изготовителя системы обратного осмоса. Количество жесткости в исходной воде и объем используемой воды будут определять частоту очистки мембран и/или замены мембран. Чтобы свести к минимуму требования к пространству и весу, умягчители, используемые в портативных системах, не должны оснащаться резервуаром для рассола. Вместо этого для регенерации умягчителей следует использовать отдельную регенерационную станцию с резервуаром для рассола и источником воды.</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lastRenderedPageBreak/>
        <w:t>В отличие от центральных систем очистки воды, регенерационные устройства, такие как умягчители, используемые в портативных (острых) системах очистки воды, не включают средства предотвращения попадания обработанной воды в систему обратного осмоса во время регенерации. Портативная система очистки воды не должна эксплуатироваться без всех ее устройств предварительной очистки в режиме онлайн. В больничных условиях, где имеется центральное смягчение подачи питьевой воды, обслуживающий персонал больницы/завода должен быть осведомлен о потенциальном влиянии жесткой воды на производительность обратного осмоса и потенциальной опасности несвоевременной регенерации для пациентов, находящихся на гемодиализе.</w:t>
      </w:r>
    </w:p>
    <w:p w:rsidR="00575488" w:rsidRDefault="00575488" w:rsidP="00575488">
      <w:pPr>
        <w:pStyle w:val="Style15"/>
        <w:widowControl/>
        <w:ind w:firstLine="567"/>
        <w:rPr>
          <w:rStyle w:val="FontStyle54"/>
          <w:rFonts w:ascii="Times New Roman" w:hAnsi="Times New Roman" w:cs="Times New Roman"/>
          <w:b/>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G.3.6 Обратный осмос</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Система обратного осмоса должна демонстрировать подачу воды, соответствующей требованиям качества ISO 23500-3; в противном случае следует использовать дополнительные очистные устройства. Пользователь может определить наблюдение с точки зрения процента отбраковки и проводимости обработанной воды (RO). Соответствие обоим контролируемым параметрам необходимо, поскольку увеличение содержания загрязняющих веществ в питательной воде может привести к тому, что обработанная вода будет непригодна для применения в гемодиализе, даже если процент отбраковки мембранных модулей остается высоким. В этом случае дополнительное устройство очистки воды должно быть установлено после системы обратного осмоса, чтобы соответствовать стандарту. Примером такого устройства может служить полировальный картридж деионизатора. Пользователь должен установить аварийные пределы для отбраковки и проводимости обработанной воды или общего количества растворенных твердых веществ (TDS), специфичных для острого участка.</w:t>
      </w:r>
    </w:p>
    <w:p w:rsid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Поскольку мембраны обратного осмоса имеют тенденцию постепенно разрушаться, риск отличается от истощения деионизатора, где очень высокие уровни загрязняющих веществ, таких как фтор, могут внезапно возникнуть в обработанной воде. Рекомендуется, чтобы системы обратного осмоса, используемые в условиях острого диализа, включали средство предотвращения попадания обработанной воды к пациенту в случае тревоги проводимости обработанной воды или скорости отторжения. Средства предотвращения попадания обработанной воды к пациенту могут включать автоматический отвод к дренажному клапану, отключение обратного осмоса или немедленную реакцию оператора на сигнал тревоги. </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G.3.7 Эндотоксиновые фильтры</w:t>
      </w:r>
    </w:p>
    <w:p w:rsid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Было доказано, что использование эндотоксиновые фильтров в системе очистки воды для острого диализа с использованием обратного осмоса является избыточным, учитывая, что такие системы работают в конфигурации прямого питания. Эндотоксиновые фильтры следует устанавливать после резервуаров деионизатора в системах, использующих деионизацию. Даже при использовании обратного осмоса может быть трудно поддерживать портативное оборудование для очистки воды и связанный с ним диализный аппарат свободными от микробиологического загрязнения, поскольку оборудование часто используется с перерывами и часто подключается и отключается. По этим причинам встроенные фильтры для диализирующего раствора рекомендуются в качестве окончательного барьера против загрязнения диализирующего раствора.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p>
    <w:p w:rsidR="00575488" w:rsidRPr="00575488" w:rsidRDefault="00575488" w:rsidP="00575488">
      <w:pPr>
        <w:pStyle w:val="Style15"/>
        <w:widowControl/>
        <w:ind w:firstLine="567"/>
        <w:rPr>
          <w:rStyle w:val="FontStyle54"/>
          <w:rFonts w:ascii="Times New Roman" w:hAnsi="Times New Roman" w:cs="Times New Roman"/>
          <w:b/>
          <w:sz w:val="24"/>
          <w:lang w:val="kk-KZ" w:eastAsia="en-US"/>
        </w:rPr>
      </w:pPr>
      <w:r w:rsidRPr="00575488">
        <w:rPr>
          <w:rStyle w:val="FontStyle54"/>
          <w:rFonts w:ascii="Times New Roman" w:hAnsi="Times New Roman" w:cs="Times New Roman"/>
          <w:b/>
          <w:sz w:val="24"/>
          <w:lang w:val="kk-KZ" w:eastAsia="en-US"/>
        </w:rPr>
        <w:t>G.4 Методы микробиологического контроля</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Контроль микробного загрязнения является единственным наиболее сложным аспектом поддержания портативного оборудования в соответствии с требованиями </w:t>
      </w:r>
      <w:r>
        <w:rPr>
          <w:rStyle w:val="FontStyle54"/>
          <w:rFonts w:ascii="Times New Roman" w:hAnsi="Times New Roman" w:cs="Times New Roman"/>
          <w:sz w:val="24"/>
          <w:lang w:val="kk-KZ" w:eastAsia="en-US"/>
        </w:rPr>
        <w:t xml:space="preserve">                  </w:t>
      </w:r>
      <w:r w:rsidRPr="00575488">
        <w:rPr>
          <w:rStyle w:val="FontStyle54"/>
          <w:rFonts w:ascii="Times New Roman" w:hAnsi="Times New Roman" w:cs="Times New Roman"/>
          <w:sz w:val="24"/>
          <w:lang w:val="kk-KZ" w:eastAsia="en-US"/>
        </w:rPr>
        <w:t xml:space="preserve">ISO 23500-5. Из-за нестандартного характера острого диализа системы, используемые для </w:t>
      </w:r>
      <w:r w:rsidRPr="00575488">
        <w:rPr>
          <w:rStyle w:val="FontStyle54"/>
          <w:rFonts w:ascii="Times New Roman" w:hAnsi="Times New Roman" w:cs="Times New Roman"/>
          <w:sz w:val="24"/>
          <w:lang w:val="kk-KZ" w:eastAsia="en-US"/>
        </w:rPr>
        <w:lastRenderedPageBreak/>
        <w:t>острого гемодиализа, работают с перерывами и могут часто подключаться и отключаться, кроме того, они могут быть зарезервированы специально для использования в условиях острого ухода за пациентами. Таким образом, они должны быть разработаны и поддерживаться таким образом, чтобы свести к минимуму размножение бактерий. Должна существовать непрерывная программа повышения качества надзора за работой и техническим обслуживанием систем, используемых для проведения острого диализа. Систему обратного осмоса следует дезинфицировать в соответствии с инструкциями изготовителя, причем чаще всего, если оборудование не эксплуатируется в течение нескольких дней или если результаты испытаний показывают, что график дезинфекции недостаточен для обеспечения соответствия микробиологическим требованиям качества 4.1 ISO 23500-5:2019. Потенциал бактериальной пролиферации можно уменьшить, работая с оборудованием не менее 15 минут каждый день, независимо от того, проводится ли лечение или нет. Другой подход заключается в добавлении бактериостатического агента (например, бисульфита натрия) в системы обратного </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 xml:space="preserve">осмоса, подлежащие хранению. Если используется бактериостатический агент, машина должна быть четко маркирована, чтобы указать на присутствие этого агента. </w:t>
      </w:r>
      <w:r>
        <w:rPr>
          <w:rStyle w:val="FontStyle54"/>
          <w:rFonts w:ascii="Times New Roman" w:hAnsi="Times New Roman" w:cs="Times New Roman"/>
          <w:sz w:val="24"/>
          <w:lang w:val="kk-KZ" w:eastAsia="en-US"/>
        </w:rPr>
        <w:t xml:space="preserve">               </w:t>
      </w:r>
      <w:r w:rsidRPr="00575488">
        <w:rPr>
          <w:rStyle w:val="FontStyle54"/>
          <w:rFonts w:ascii="Times New Roman" w:hAnsi="Times New Roman" w:cs="Times New Roman"/>
          <w:sz w:val="24"/>
          <w:lang w:val="kk-KZ" w:eastAsia="en-US"/>
        </w:rPr>
        <w:t>Из-за потенциального бактериального роста в углеродных средах следует следовать инструкциям изготовителя по плановой замене углеродных сред, даже если обработанная вода все еще может соответствовать требованиям к общему хлору. В отсутствие рекомендаций изготовителя углеродные носители следует заменять не реже одного раза в шесть месяцев. При условии непрерывного потока диализной жидкости через аппарат, диализные аппараты, которые используются для выполнения нескольких процедур в течение дня, должны быть очищены после каждой процедуры и продезинфицированы в конце дня в соответствии с инструкциями изготовителя. Если поток диализной жидкости отсутствует в течение более 4 ч между обработками, то перед проведением второй обработки аппарат следует продезинфицировать. Если машина не дезинфицируется ежедневно, ее следует дезинфицировать перед использованием. Поскольку линия подачи воды в диализную машину не дезинфицируется при дезинфекции машины, эта линия должна быть дезинфицирована при дезинфекции системы обратного осмоса, и следует рассмотреть возможность замены этой линии на регулярной основе, например ежегодно. Непрозрачная трубка предпочтительна для этой линии, чтобы уменьшить вероятность роста водорослей; однако трубка должна быть одобрена изготовителем аппарата для диализа.</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Если используются отдельные емкости с бикарбонатным концентратом и приемные трубки, то они дезинфицируются, как описано в 8.2.3.4. Если для бикарбонатного концентрата используются многоразовые контейнеры, они также дезинфицируются, как описано в 8.2.3.4.</w:t>
      </w:r>
    </w:p>
    <w:p w:rsidR="00575488" w:rsidRPr="00575488" w:rsidRDefault="00575488" w:rsidP="00575488">
      <w:pPr>
        <w:pStyle w:val="Style15"/>
        <w:widowControl/>
        <w:ind w:firstLine="567"/>
        <w:rPr>
          <w:rStyle w:val="FontStyle54"/>
          <w:rFonts w:ascii="Times New Roman" w:hAnsi="Times New Roman" w:cs="Times New Roman"/>
          <w:sz w:val="24"/>
          <w:lang w:val="kk-KZ" w:eastAsia="en-US"/>
        </w:rPr>
      </w:pPr>
      <w:r w:rsidRPr="00575488">
        <w:rPr>
          <w:rStyle w:val="FontStyle54"/>
          <w:rFonts w:ascii="Times New Roman" w:hAnsi="Times New Roman" w:cs="Times New Roman"/>
          <w:sz w:val="24"/>
          <w:lang w:val="kk-KZ" w:eastAsia="en-US"/>
        </w:rPr>
        <w:t>Следует рассмотреть возможность установки встроенного фильтра диализирующего раствора в аппарат для диализа, если изготовитель аппарата допускает такую возможность. При установке фильтр для диализирующего раствора следует обслуживать и заменять его в соответствии с инструкциями изготовителя.</w:t>
      </w: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575488" w:rsidRDefault="00575488" w:rsidP="00575488">
      <w:pPr>
        <w:pStyle w:val="Style15"/>
        <w:widowControl/>
        <w:ind w:firstLine="0"/>
        <w:rPr>
          <w:rStyle w:val="FontStyle54"/>
          <w:rFonts w:ascii="Times New Roman" w:hAnsi="Times New Roman" w:cs="Times New Roman"/>
          <w:b/>
          <w:sz w:val="24"/>
          <w:lang w:val="kk-KZ" w:eastAsia="en-US"/>
        </w:rPr>
      </w:pPr>
    </w:p>
    <w:p w:rsidR="00877C9D" w:rsidRPr="00575488" w:rsidRDefault="00877C9D" w:rsidP="004636A8">
      <w:pPr>
        <w:pStyle w:val="Style15"/>
        <w:widowControl/>
        <w:ind w:firstLine="0"/>
        <w:jc w:val="center"/>
        <w:rPr>
          <w:rStyle w:val="FontStyle54"/>
          <w:rFonts w:ascii="Times New Roman" w:hAnsi="Times New Roman" w:cs="Times New Roman"/>
          <w:b/>
          <w:sz w:val="24"/>
          <w:highlight w:val="yellow"/>
          <w:lang w:val="en-US" w:eastAsia="en-US"/>
        </w:rPr>
      </w:pPr>
      <w:r w:rsidRPr="00BD5AD7">
        <w:rPr>
          <w:rStyle w:val="FontStyle54"/>
          <w:rFonts w:ascii="Times New Roman" w:hAnsi="Times New Roman" w:cs="Times New Roman"/>
          <w:b/>
          <w:sz w:val="24"/>
          <w:lang w:eastAsia="en-US"/>
        </w:rPr>
        <w:lastRenderedPageBreak/>
        <w:t>Библиография</w:t>
      </w:r>
    </w:p>
    <w:p w:rsidR="00737F52" w:rsidRDefault="00737F52" w:rsidP="00737F52">
      <w:pPr>
        <w:pStyle w:val="Style12"/>
        <w:widowControl/>
        <w:ind w:firstLine="567"/>
        <w:rPr>
          <w:rStyle w:val="FontStyle50"/>
          <w:rFonts w:ascii="Times New Roman" w:hAnsi="Times New Roman" w:cs="Times New Roman"/>
          <w:sz w:val="24"/>
          <w:szCs w:val="24"/>
          <w:highlight w:val="yellow"/>
          <w:lang w:val="kk-KZ" w:eastAsia="en-US"/>
        </w:rPr>
      </w:pPr>
    </w:p>
    <w:p w:rsidR="00575488" w:rsidRPr="00575488" w:rsidRDefault="00D73213" w:rsidP="00575488">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 xml:space="preserve">[1] </w:t>
      </w:r>
      <w:r w:rsidR="00575488" w:rsidRPr="00575488">
        <w:rPr>
          <w:rFonts w:ascii="Times New Roman" w:hAnsi="Times New Roman" w:cs="Times New Roman"/>
          <w:color w:val="000000"/>
          <w:lang w:val="kk-KZ" w:eastAsia="en-US"/>
        </w:rPr>
        <w:t>ISO 23500-2:2019, Preparation and quality management of fluids for haemodialysis and related therapies — Part 2: Water treatment equipment for haemodialysis applications and related therapies</w:t>
      </w:r>
      <w:r>
        <w:rPr>
          <w:rFonts w:ascii="Times New Roman" w:hAnsi="Times New Roman" w:cs="Times New Roman"/>
          <w:color w:val="000000"/>
          <w:lang w:val="kk-KZ" w:eastAsia="en-US"/>
        </w:rPr>
        <w:t>.</w:t>
      </w:r>
    </w:p>
    <w:p w:rsidR="00575488" w:rsidRPr="00575488" w:rsidRDefault="00D73213" w:rsidP="00D73213">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 xml:space="preserve">[2] </w:t>
      </w:r>
      <w:r w:rsidR="00575488" w:rsidRPr="00575488">
        <w:rPr>
          <w:rFonts w:ascii="Times New Roman" w:hAnsi="Times New Roman" w:cs="Times New Roman"/>
          <w:color w:val="000000"/>
          <w:lang w:val="kk-KZ" w:eastAsia="en-US"/>
        </w:rPr>
        <w:t>ISO 15883-1:2006, Washer-disinfectors — Part 1: General requirements, terms and definitions</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and tests</w:t>
      </w:r>
      <w:r>
        <w:rPr>
          <w:rFonts w:ascii="Times New Roman" w:hAnsi="Times New Roman" w:cs="Times New Roman"/>
          <w:color w:val="000000"/>
          <w:lang w:val="kk-KZ" w:eastAsia="en-US"/>
        </w:rPr>
        <w:t>.</w:t>
      </w:r>
    </w:p>
    <w:p w:rsidR="00575488" w:rsidRPr="00575488" w:rsidRDefault="00D73213" w:rsidP="00575488">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 xml:space="preserve">[3] </w:t>
      </w:r>
      <w:r w:rsidR="00575488" w:rsidRPr="00575488">
        <w:rPr>
          <w:rFonts w:ascii="Times New Roman" w:hAnsi="Times New Roman" w:cs="Times New Roman"/>
          <w:color w:val="000000"/>
          <w:lang w:val="kk-KZ" w:eastAsia="en-US"/>
        </w:rPr>
        <w:t>IEC 60601-2-16:2012, Medical electrical equipment — Part 2-16:  Particular  requirements  for basic safety and essential performance of haemodialysis, haemodiafiltration and haemofiltration equipment</w:t>
      </w:r>
      <w:r>
        <w:rPr>
          <w:rFonts w:ascii="Times New Roman" w:hAnsi="Times New Roman" w:cs="Times New Roman"/>
          <w:color w:val="000000"/>
          <w:lang w:val="kk-KZ"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w:t>
      </w:r>
      <w:r>
        <w:rPr>
          <w:rFonts w:ascii="Times New Roman" w:hAnsi="Times New Roman" w:cs="Times New Roman"/>
          <w:color w:val="000000"/>
          <w:lang w:val="en-US" w:eastAsia="en-US"/>
        </w:rPr>
        <w:t xml:space="preserve"> I</w:t>
      </w:r>
      <w:r w:rsidR="00575488" w:rsidRPr="00575488">
        <w:rPr>
          <w:rFonts w:ascii="Times New Roman" w:hAnsi="Times New Roman" w:cs="Times New Roman"/>
          <w:color w:val="000000"/>
          <w:lang w:val="kk-KZ" w:eastAsia="en-US"/>
        </w:rPr>
        <w:t>EC 60529:1989+AMD1:1999, CSV Consolidated version Degrees of protection provided by enclosures (IP Code)</w:t>
      </w:r>
      <w:r>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[5]</w:t>
      </w:r>
      <w:r w:rsidR="00D73213">
        <w:rPr>
          <w:rFonts w:ascii="Times New Roman" w:hAnsi="Times New Roman" w:cs="Times New Roman"/>
          <w:color w:val="000000"/>
          <w:lang w:val="en-US" w:eastAsia="en-US"/>
        </w:rPr>
        <w:t xml:space="preserve"> </w:t>
      </w:r>
      <w:r w:rsidR="00D73213" w:rsidRPr="00575488">
        <w:rPr>
          <w:rFonts w:ascii="Times New Roman" w:hAnsi="Times New Roman" w:cs="Times New Roman"/>
          <w:color w:val="000000"/>
          <w:lang w:val="kk-KZ" w:eastAsia="en-US"/>
        </w:rPr>
        <w:t xml:space="preserve"> </w:t>
      </w:r>
      <w:r w:rsidRPr="00575488">
        <w:rPr>
          <w:rFonts w:ascii="Times New Roman" w:hAnsi="Times New Roman" w:cs="Times New Roman"/>
          <w:color w:val="000000"/>
          <w:lang w:val="kk-KZ" w:eastAsia="en-US"/>
        </w:rPr>
        <w:t>IEC 60601-1:2012, Medical electrical equipment — Part 1: General requirements for basic safety and essential performance</w:t>
      </w:r>
      <w:r w:rsidR="00D73213">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[6]</w:t>
      </w:r>
      <w:r w:rsidR="00D73213">
        <w:rPr>
          <w:rFonts w:ascii="Times New Roman" w:hAnsi="Times New Roman" w:cs="Times New Roman"/>
          <w:color w:val="000000"/>
          <w:lang w:val="en-US" w:eastAsia="en-US"/>
        </w:rPr>
        <w:t xml:space="preserve"> </w:t>
      </w:r>
      <w:r w:rsidRPr="00575488">
        <w:rPr>
          <w:rFonts w:ascii="Times New Roman" w:hAnsi="Times New Roman" w:cs="Times New Roman"/>
          <w:color w:val="000000"/>
          <w:lang w:val="kk-KZ" w:eastAsia="en-US"/>
        </w:rPr>
        <w:t>IEC/TR 62653: :2013,Guidelines for the safe use of medical products in dialysis treatment</w:t>
      </w:r>
      <w:r w:rsidR="00D73213">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[7]</w:t>
      </w:r>
      <w:r w:rsidR="00D73213">
        <w:rPr>
          <w:rFonts w:ascii="Times New Roman" w:hAnsi="Times New Roman" w:cs="Times New Roman"/>
          <w:color w:val="000000"/>
          <w:lang w:val="en-US" w:eastAsia="en-US"/>
        </w:rPr>
        <w:t xml:space="preserve"> </w:t>
      </w:r>
      <w:r w:rsidRPr="00575488">
        <w:rPr>
          <w:rFonts w:ascii="Times New Roman" w:hAnsi="Times New Roman" w:cs="Times New Roman"/>
          <w:color w:val="000000"/>
          <w:lang w:val="kk-KZ" w:eastAsia="en-US"/>
        </w:rPr>
        <w:t>IEC 60601-1-11:2015, Medical electrical equipment — Part 1-11: General requirements for basic safety and essential performance — Collateral standard: Requirements for medical electrical equipment and medical electrical systems used in the home healthcare environment</w:t>
      </w:r>
      <w:r w:rsidR="00D73213">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ASTM D4516–00 (2010), Standard Practice for Standardizing Reverse Osmosis Performance Data</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United States Pharmacopeia. &lt;1231&gt; Water for Pharmaceutical Purposes; (Rockville, MD, March 8, 2017)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LEDEBo I., &amp; NysTRAND R. Defining the microbiological quality of dialysis fluid. Artif. Organs. 1999, 23(1) pp. 37–43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MALTAIs J.B., MEyER K.B., FosTER M.C.  Comparison of techniques for culture of dialysis water  and fluid. Hemodial. Int. 2017, 21(2) pp197-205</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PAss  T.,  WRIGHT  R., SHARP  B., HARDINg  G.B.  Culture of dialysis fluids on nutrient-rich media   for short periods at elevated temperatures underestimates microbial contamination. Blood Purif. 1996, 14(2) pp. 136–145</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[13]</w:t>
      </w:r>
      <w:r>
        <w:rPr>
          <w:rFonts w:ascii="Times New Roman" w:hAnsi="Times New Roman" w:cs="Times New Roman"/>
          <w:color w:val="000000"/>
          <w:lang w:val="en-US" w:eastAsia="en-US"/>
        </w:rPr>
        <w:t xml:space="preserve"> V</w:t>
      </w:r>
      <w:r w:rsidR="00575488" w:rsidRPr="00575488">
        <w:rPr>
          <w:rFonts w:ascii="Times New Roman" w:hAnsi="Times New Roman" w:cs="Times New Roman"/>
          <w:color w:val="000000"/>
          <w:lang w:val="kk-KZ" w:eastAsia="en-US"/>
        </w:rPr>
        <w:t>AN DER LINDE K., LIM B.T., RoNDEEL J.M.M., ANToNISSEN L.P., dE JONg  G.M.  Improved bacteriological surveillance of haemodialysis fluids: A comparison between tryptic soy agar and Reasoner’s 2A media. Nephrol. Dial. Transplant. 1999, 14 (10) pp. 2433–2437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REASoNER D.J., &amp; GELDREICH E.E. A new medium for the enumeration and subculture of bacteria from potable water. Appl. Environ. Microbiol. 1985, 49 (1) pp. 1–7</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ALFREy A.C. Aluminum toxicity in patients with chronic renal failure. Ther. Drug Monit. 1993,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15 (6) pp. 593–597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ALFREy A.C., LEGENDRE G.R., KAEHNy W.D. The dialysis encephalopathy syndrome. Possible aluminum intoxication. N. Engl. J. Med. 1976, 294 (4) pp. 184–188</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BEREND K., VAN DER VoET G., BOER W.H. Acute aluminum encephalopathy in a dialysis center caused by a cement mortar water distribution pipe. Kidney Int. 2001, 59 (2) pp. 746–753</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BEREND K., KNoOPs G.J., DE WoLFF F.A. Prosecution after an outbreak of subacute aluminum</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intoxication in a hemodialysis center. Leg. Med. (Tokyo). 2004, 6 (1) pp. 1–10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[19]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 xml:space="preserve">BOHRER  D.,  BERTAgNoLLI  D.C.,  dE  OLIVEIRA  S.M.,  do  NAscIMENTo  P.C.,  dE  CARVALHo  L.M., GARCIA S.C. Role of medication in the level of aluminium in </w:t>
      </w:r>
      <w:r w:rsidR="00575488" w:rsidRPr="00575488">
        <w:rPr>
          <w:rFonts w:ascii="Times New Roman" w:hAnsi="Times New Roman" w:cs="Times New Roman"/>
          <w:color w:val="000000"/>
          <w:lang w:val="kk-KZ" w:eastAsia="en-US"/>
        </w:rPr>
        <w:lastRenderedPageBreak/>
        <w:t>the blood of chronic haemodialysis patients. Nephrol. Dial. Transplant. 2009, 24 (4) pp. 1277–1281</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BUREN D.R., OLSEN S.M., BLAND L.A., ARDUINo M.J., REID M.H., JARVIs W.R. Epidemic aluminum intoxication in hemodialysis patients traced to use of an aluminum pump. Kidney Int. 1995, 48 (2) pp. 469–474</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CANNATA-ANDíA J.B. Reconsidering the importance of long-term low-level aluminum exposure</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in renal failure patients. Semin. Dial. 2001, 14 (1) pp. 5–7</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CANNATA-ANDíA J.B., &amp; FERNÁNDEZ-MARTíN J.L. The clinical impact of aluminium overload in</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renal failure. Nephrol. Dial. Transplant. 2002, 17 (Suppl 2) pp. 9–12</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Centers for Disease Control and Prevention (CDC). Elevated serum aluminum levels in hemodialysis patients associated with use of electric pumps. Wyoming, 2007. MMWR Morb.</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Mortal. Wkly. Rep. 2008, 57 (25) pp. 689–691</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DAVIsoN A.M., WALKER G.S., OLI H., LEWINs A.M.  Water  supply  aluminium  concentration, dialysis dementia,  and  effect  of  reverse-osmosis  water  treatment.  Lancet.  1982,  2  (8302) pp. 785–787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FERNÁNDEZ-MARTíN J.L., CANTERos A., ALLEs A., MAssARI P., CANNATA-ANDíA J.  Aluminum  exposure in chronic renal failure in Iberoamerica at the end of the 1990s: overview and perspectives. Am. J. Med. Sci. 2000, 320 (2) pp. 96–99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HANNA-ATTIsHA M., LACHANCE J,  SADLER  R.C.,  CHAMPNEy  ScHNEPP  A.  Elevated  Blood  Lead Levels in Children Associated With the Flint Drinking Water Crisis: A Spatial Analysis of Risk  and Public Health Response. Am. J. Public Health. 2016, 106 (2) pp. 283–290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HODgE K.C., DAY  J.P., O’HARA  M., AcKRILL  P.,  RALsTON  A.J.  Critical concentrations of aluminium in water used for dialysis. Lancet. 1981, 2 (8250) pp. 802–803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[28]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JAFFE J.A., LIFTMAN C., GLICKMAN J.D. Frequency of elevated serum aluminum levels in adult dialysis patients. Am. J. Kidney Dis. 2005, 46 (2) pp. 316–319</w:t>
      </w:r>
      <w:r w:rsidRPr="00D73213">
        <w:rPr>
          <w:rFonts w:ascii="Times New Roman" w:hAnsi="Times New Roman" w:cs="Times New Roman"/>
          <w:color w:val="000000"/>
          <w:lang w:val="kk-KZ"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[29]</w:t>
      </w:r>
      <w:r w:rsidRPr="00D73213">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KAISER L., &amp; ScHWARTz K.A. Aluminum-induced anemia. Am. J. Kidney Dis. 1985, 6 pp. 348–352</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KovALCHIK M.T., KAEHNy W.D., HEgg A.P., JACKsON J.T., ALFREy A.C. Aluminum kinetics during</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haemodialysis. J. Lab. Clin. Med. 1978, 92 pp. 712–720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AL-WAKEEL J.S., MITWALLI A.H., HURAIB S., AL-MoHAYA S., ABU-AIsHA  H.,  CHAUDHARy  A.R., aL- MAJED S.A., MEMON N. Serum ionic fluoride levels in haemodialysis and continuous peritoneal dialysis patients. Nephrol. Dial. Transplant. 1997, 12 (7) pp. 1420–1424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ARNOw P.M.,  BLAND  L.A.,  GARCIA-HoUCHINs  S.,  FRIDKIN   S.,  FELLNER   S.K.   An  outbreak  of fatal fluoride intoxication in a long-term  hemodialysis  unit. Ann. Intern.  Med.  1994,  121(5) pp. 339–344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BELLo V.A., &amp; GITELMAN H.J. High fluoride exposure in hemodialysis patients. Am. J. Kidney Dis. 1990, 15 (4) pp. 320–324</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BLAND L.A., ARNOW P.M., ARDUINo M.J., BovA J., McALLISTER S.K. Potential hazards of deionization</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systems used for water purification in hemodialysis. Artif. Organs. 1996, 20 (1) pp. 2–7</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Centers for Disease Control and Prevention (CDC). Fluoride intoxication in a dialysis unit —</w:t>
      </w:r>
      <w:r>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Maryland. MMWR Morb. Mortal. Wkly. Rep. 1980, 29(12) pp. 134-136</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JOHNsoN W.J., &amp; TAVEs D.R. Exposure to excessive fluoride during haemodialysis. Kidney Int. 1974, 5 (6) pp. 451–454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MoHAPATRA M., ANAND S., MISHRA B.K., GILEs D.E., SINGH P. Review of fluoride removal from drinking water. J. Environ. Manage. 2009, 91(1) pp. 67–77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lastRenderedPageBreak/>
        <w:t>[38]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NICOLAy  A., BERTOccHIo  P.,  BARGAs   E., CoUDORÉ   F.,  AL CHAHIN   G., REyNIER   J.P.   Investigation  of fluoride elimination during a dialysis session. Clin. Chim. Acta. 1998, 275 (1) pp. 19–26</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[39]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PENMAN A.D., BRACKIN B.T., EMBREy R. Outbreak of acute fluoride poisoning  caused  by  a  fluoride overfeed, Mississippi, 1993. Public Health Rep. 1997, 112 (5) pp. 403–409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RAO R.K.S., &amp; FRIEDMAN   E.A.   Fluoride and bone disease in uremia. Kidney Int.   1975,   7 (3)   pp. 125–129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UsUDA K., KONo K., YosHIDA Y. The effect of hemodialysis upon serum levels of fluoride.</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Nephron. 1997, 75 (2) pp. 175–178</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BADEN</w:t>
      </w:r>
      <w:r w:rsidR="00575488" w:rsidRPr="00575488">
        <w:rPr>
          <w:rFonts w:ascii="Times New Roman" w:hAnsi="Times New Roman" w:cs="Times New Roman"/>
          <w:color w:val="000000"/>
          <w:lang w:val="kk-KZ" w:eastAsia="en-US"/>
        </w:rPr>
        <w:tab/>
        <w:t>M.</w:t>
      </w:r>
      <w:r w:rsidR="00575488" w:rsidRPr="00575488">
        <w:rPr>
          <w:rFonts w:ascii="Times New Roman" w:hAnsi="Times New Roman" w:cs="Times New Roman"/>
          <w:color w:val="000000"/>
          <w:lang w:val="kk-KZ" w:eastAsia="en-US"/>
        </w:rPr>
        <w:tab/>
        <w:t>Methemoglobinemia  as  a  complication  of</w:t>
      </w:r>
      <w:r w:rsidR="00575488">
        <w:rPr>
          <w:rFonts w:ascii="Times New Roman" w:hAnsi="Times New Roman" w:cs="Times New Roman"/>
          <w:color w:val="000000"/>
          <w:lang w:val="kk-KZ" w:eastAsia="en-US"/>
        </w:rPr>
        <w:t xml:space="preserve">  hemodialysis.  Nihon  Rinsho. </w:t>
      </w:r>
      <w:r w:rsidR="00575488" w:rsidRPr="00575488">
        <w:rPr>
          <w:rFonts w:ascii="Times New Roman" w:hAnsi="Times New Roman" w:cs="Times New Roman"/>
          <w:color w:val="000000"/>
          <w:lang w:val="kk-KZ" w:eastAsia="en-US"/>
        </w:rPr>
        <w:t>200</w:t>
      </w:r>
      <w:r w:rsidR="00575488">
        <w:rPr>
          <w:rFonts w:ascii="Times New Roman" w:hAnsi="Times New Roman" w:cs="Times New Roman"/>
          <w:color w:val="000000"/>
          <w:lang w:val="kk-KZ" w:eastAsia="en-US"/>
        </w:rPr>
        <w:t xml:space="preserve">4, </w:t>
      </w:r>
      <w:r w:rsidR="00575488" w:rsidRPr="00575488">
        <w:rPr>
          <w:rFonts w:ascii="Times New Roman" w:hAnsi="Times New Roman" w:cs="Times New Roman"/>
          <w:color w:val="000000"/>
          <w:lang w:val="kk-KZ" w:eastAsia="en-US"/>
        </w:rPr>
        <w:t>62 (Suppl 6) pp. 319–323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CARLsON D.J., &amp; SHAPIRo F.L. Methaemoglobin from well wa</w:t>
      </w:r>
      <w:r w:rsidR="00575488">
        <w:rPr>
          <w:rFonts w:ascii="Times New Roman" w:hAnsi="Times New Roman" w:cs="Times New Roman"/>
          <w:color w:val="000000"/>
          <w:lang w:val="kk-KZ" w:eastAsia="en-US"/>
        </w:rPr>
        <w:t xml:space="preserve">ter nitrates. A complication of </w:t>
      </w:r>
      <w:r w:rsidR="00575488" w:rsidRPr="00575488">
        <w:rPr>
          <w:rFonts w:ascii="Times New Roman" w:hAnsi="Times New Roman" w:cs="Times New Roman"/>
          <w:color w:val="000000"/>
          <w:lang w:val="kk-KZ" w:eastAsia="en-US"/>
        </w:rPr>
        <w:t>haemodialysis. Ann. Intern. Med. 1970, 73 (5) pp. 757–759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FEWTRELL L. Drinking-water nitrate, methemoglobinemia, and global burden of disease: a discussion. Environ. Health Perspect. 2004, 112 (14) pp. 1371–1374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CAILLEUx A., SUBRA J.F., RIBERI P., ALLAIN P. Uptake of trihalomethanes by patients during hemodialysis. Clin. Chim. Acta. 1989, 181 (1) pp. 75–80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CALDERARo R.V., &amp; HELLER L. Outbreak of hemolytic reactions associated with chlorine and chloramine residuals in hemodialysis water. Rev. Saude Publica. 2001, 35 (5) pp. 481–486</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Centers for Disease Control and Prevention. Multistate outbreak of hemolysis in hemodialysis patients — Nebraska and Maryland, 1998. JAMA. 1998, 280 (15) pp. 1299–1300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COHN</w:t>
      </w:r>
      <w:r w:rsidR="00575488" w:rsidRPr="00575488">
        <w:rPr>
          <w:rFonts w:ascii="Times New Roman" w:hAnsi="Times New Roman" w:cs="Times New Roman"/>
          <w:color w:val="000000"/>
          <w:lang w:val="kk-KZ" w:eastAsia="en-US"/>
        </w:rPr>
        <w:tab/>
        <w:t>P.,   NAVITsKI</w:t>
      </w:r>
      <w:r w:rsidR="00575488" w:rsidRPr="00575488">
        <w:rPr>
          <w:rFonts w:ascii="Times New Roman" w:hAnsi="Times New Roman" w:cs="Times New Roman"/>
          <w:color w:val="000000"/>
          <w:lang w:val="kk-KZ" w:eastAsia="en-US"/>
        </w:rPr>
        <w:tab/>
        <w:t>M.,  MONACo</w:t>
      </w:r>
      <w:r w:rsidR="00575488" w:rsidRPr="00575488">
        <w:rPr>
          <w:rFonts w:ascii="Times New Roman" w:hAnsi="Times New Roman" w:cs="Times New Roman"/>
          <w:color w:val="000000"/>
          <w:lang w:val="kk-KZ" w:eastAsia="en-US"/>
        </w:rPr>
        <w:tab/>
        <w:t>A.</w:t>
      </w:r>
      <w:r w:rsidR="00575488" w:rsidRPr="00575488">
        <w:rPr>
          <w:rFonts w:ascii="Times New Roman" w:hAnsi="Times New Roman" w:cs="Times New Roman"/>
          <w:color w:val="000000"/>
          <w:lang w:val="kk-KZ" w:eastAsia="en-US"/>
        </w:rPr>
        <w:tab/>
        <w:t>Permanganate as a cause of apparent chloramine</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breakthrough in dialysis water. Semin. Dial. 2005, 18 (4) pp. 351–352</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[49]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dE OLIVEIRA R.M., dE Los SANTos C.A., ANTONELLo  I., d’AvILA  D.  Warning: an anemia outbreak due to chloramine exposure in a clean hemodialysis unit — an issue to be revisited. Ren. Fail. 2009, 31(1) pp. 81–83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dE ToRREs J.P., STROM J.A., JABER B.L., HENDRA K.P. Hemodialysis-associated methemoglobinemia in acute renal failure. Am. J. Kidney Dis. 2002, 39 (6) pp. 1307–1309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EAToN J.W., KOLPIN C.F., SwOFFORD H.S., KJELLsTRAND C.M., JACOB H.S. Chlorinated urban</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water: A cause of dialysis-induced haemolytic anemia. Science. 1973, 181(4098) pp. 463–464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FAIREy J.L., SPEITEL G.E., KATz L.E. Impact of natural organic matter on monochloramine</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reduction by granular activated carbon: The role of porosity and electrostatic surface properties.</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Environ. Sci. Technol. 2006, 40 (13) pp. 4268–4273</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FLUCK S., McKANE W., CAIRNS T., FAIRCHILD V., LAWRENCE A., LEE J., MURRAY D., PoLPITIyE M.,</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PALMER  A., TAUBE  D.  Chloramine-induced haemolysis presenting as erythropoietin resistance.</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Nephrol. Dial. Transplant. 1999, 14 (7) pp. 1687–1691</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HUA G., &amp; RECKHOw D.A. Comparison of disinfection byproduct formation from chlorine and alternative disinfectants. Water Res. 2007, 41 (8) pp. 1667–1678</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LocKHART A.C. A hemodialysis patient with chloramine-induced hemolysis. A discussion of the mechanism. N. C. Med. J. 1998, 59 (4) pp. 248–250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[56]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PÉREz-GARCÍA R., &amp; RoDRígUEZ-BENÍTEZ P. Chloramine, a sneaky contaminant of dialysate. Nephrol. Dial. Transplant. 1999, 14(11) pp. 2579–2582</w:t>
      </w:r>
      <w:r>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 xml:space="preserve"> </w:t>
      </w:r>
      <w:r w:rsidR="00D73213">
        <w:rPr>
          <w:rFonts w:ascii="Times New Roman" w:hAnsi="Times New Roman" w:cs="Times New Roman"/>
          <w:color w:val="000000"/>
          <w:lang w:val="kk-KZ" w:eastAsia="en-US"/>
        </w:rPr>
        <w:t>[57]</w:t>
      </w:r>
      <w:r w:rsidR="00D73213">
        <w:rPr>
          <w:rFonts w:ascii="Times New Roman" w:hAnsi="Times New Roman" w:cs="Times New Roman"/>
          <w:color w:val="000000"/>
          <w:lang w:val="en-US" w:eastAsia="en-US"/>
        </w:rPr>
        <w:t xml:space="preserve"> </w:t>
      </w:r>
      <w:r w:rsidRPr="00575488">
        <w:rPr>
          <w:rFonts w:ascii="Times New Roman" w:hAnsi="Times New Roman" w:cs="Times New Roman"/>
          <w:color w:val="000000"/>
          <w:lang w:val="kk-KZ" w:eastAsia="en-US"/>
        </w:rPr>
        <w:t>PÉREz-GARCÍA R., VERDE E., SANZ A., VALDERRÁBANo F. r-HuEPO resistance and dialysate chloramine contamination in patients on hemodialysis. Nephron. 2000, 86 (2) pp. 222–223</w:t>
      </w:r>
      <w:r w:rsidR="00D73213">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lastRenderedPageBreak/>
        <w:t>[58]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Pyo H.-J., KwON Y.J., WEE K.S., KwON S.Y., LEE C.H., KIM S. An outbreak of Heinz body positive hemolytic anemia in chronic hemodialysis patients. Korean J. Intern. Med. 1993, 8 (2) pp. 93–98</w:t>
      </w:r>
      <w:r>
        <w:rPr>
          <w:rFonts w:ascii="Times New Roman" w:hAnsi="Times New Roman" w:cs="Times New Roman"/>
          <w:color w:val="000000"/>
          <w:lang w:val="en-US" w:eastAsia="en-US"/>
        </w:rPr>
        <w:t>.</w:t>
      </w:r>
    </w:p>
    <w:p w:rsidR="00575488" w:rsidRPr="00575488" w:rsidRDefault="00D73213" w:rsidP="00D73213">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[59]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RICHARDsoN D., BARTLETT C., GOUTCHER E., JONEs C.H., DAVIsoN A.M., WILL E.J. Erythropoietin resistance due to dialysate chloramine: the two-way traffic of solutes in haemodialysis. Nephrol.</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Dial. Transplant. 1999, 14 (11) pp. 2625–2627</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WARD D.M. Chloramine removal from water used in haemodialysis. Adv. Ren. Replace. Ther. 1996, 3 (4) pp. 337–347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WHITAKER H., NIEUWENHUIJsEN M.J., BEST N., FAWELL J., GowERs A., ELLIoT P. Description of trihalomethane levels in three UK water suppliers. J. Expo. Anal. Environ. Epidemiol. 2003, 13 (1) pp. 17–23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DAVENPoRT A., MURCUTT G., WHITINg S. Cross-sectional audit of blood lead levels in regular outpatient haemodialysis patients dialysing in north London. Nephrology (Carlton). 2009,  14 (5) pp. 476–481</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[63]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KATHURIA P.,  NAIR  B., ScHRAM  D., MEDLocK  R.  Outbreak of lead poisoning in a hemodialysis  unit. J. Am. Soc. Nephrol. 2004, 15 p. 617A</w:t>
      </w:r>
      <w:r w:rsidRPr="00D73213">
        <w:rPr>
          <w:rFonts w:ascii="Times New Roman" w:hAnsi="Times New Roman" w:cs="Times New Roman"/>
          <w:color w:val="000000"/>
          <w:lang w:val="kk-KZ"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[64]</w:t>
      </w:r>
      <w:r w:rsidRPr="00D73213">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LIN  J.L., LIN-TAN  D.T.,  YEN  T.H., HSU  C.W., JENG  C.C., CHEN  K.H., HSU  K.H., HUANg   Y.L.   Blood lead levels, malnutrition, inflammation and mortality in patients with diabetes treated by long- term hemodialysis. Am. J. Kidney Dis. 2007, 51(1) pp. 107–115</w:t>
      </w:r>
      <w:r>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[65]</w:t>
      </w:r>
      <w:r w:rsidRPr="00575488">
        <w:rPr>
          <w:rFonts w:ascii="Times New Roman" w:hAnsi="Times New Roman" w:cs="Times New Roman"/>
          <w:color w:val="000000"/>
          <w:lang w:val="kk-KZ" w:eastAsia="en-US"/>
        </w:rPr>
        <w:tab/>
        <w:t>SAMPsON  B., CURTIS J.R., DAVIEs  S.   Survey of blood lead and plasma aluminium concentrations in patients of a renal unit. Nephrol. Dial. Transplant. 1989, 4(5) pp. 375–381</w:t>
      </w:r>
      <w:r w:rsidR="00D73213">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D’HAEsE    P.C.,  SHAHEEN    F.A.,  HURAIB    S.O.,  DJUKANovIC     L.,  POLENAKovIC     M.H.,  SPAsovSKI G., SHIKoLE  A,  ScHURgERs  M.L.,  DANEELs  R.F.,  LAMBERTs  L.V.  Increased  silicon  levels  in dialysis patients due to high silicon content in the drinking water, inadequate water treatment procedures, and concentrate contamination: a multicentre study. Nephrol. Dial. Transplant. 1995; 10(10) pp. 1838–1844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GEORgE C.M., SMITH A.H., KALMAN  D.A., STEINMAUs C.M. Reverse osmosis filter use and high arsenic levels in private well water. Arch. Environ. Occup. Health. 2006, 61 (4) pp. 171–175</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MAYER D.R., KosMUS W., PoggLITscH H., MAYER D., BEyER  W.  Essential  trace  elements  in  humans. Serum arsenic concentrations in hemodialysis patients in comparison to healthy controls. Biol. Trace Elem. Res. 1993, 37 (1) pp. 27–38</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[69]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PIETRZAK  I.,  BLADEK  K., BULIKowsKI  W.   Comparison  of  magnesium  and  zinc  levels  in  blood in end stage renal disease patients treated by hemodialysis or peritoneal dialysis. Magnes. Res. 2002, 15 (3-4) pp. 229–236</w:t>
      </w:r>
      <w:r>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[70</w:t>
      </w:r>
      <w:r w:rsidR="00D73213">
        <w:rPr>
          <w:rFonts w:ascii="Times New Roman" w:hAnsi="Times New Roman" w:cs="Times New Roman"/>
          <w:color w:val="000000"/>
          <w:lang w:val="kk-KZ" w:eastAsia="en-US"/>
        </w:rPr>
        <w:t>]</w:t>
      </w:r>
      <w:r w:rsidR="00D73213">
        <w:rPr>
          <w:rFonts w:ascii="Times New Roman" w:hAnsi="Times New Roman" w:cs="Times New Roman"/>
          <w:color w:val="000000"/>
          <w:lang w:val="en-US" w:eastAsia="en-US"/>
        </w:rPr>
        <w:t xml:space="preserve"> </w:t>
      </w:r>
      <w:r w:rsidRPr="00575488">
        <w:rPr>
          <w:rFonts w:ascii="Times New Roman" w:hAnsi="Times New Roman" w:cs="Times New Roman"/>
          <w:color w:val="000000"/>
          <w:lang w:val="kk-KZ" w:eastAsia="en-US"/>
        </w:rPr>
        <w:t>ToNELLI  M.,  WIEBE  N.,  HEMMELgARN B.,  KLARENBACH  S.,  FIELD  C.,  MANNS   B.,  THADHANI   R, GILL J Alberta Kidney Disease Network. Trace elements in hemodialysis patients: a systematic review and meta-analysis. BMC Med. 2009, 7 p. 25</w:t>
      </w:r>
      <w:r w:rsidR="00D73213">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ZHANG   X., CORNELIs   R., DE  KIMPE   J.,  MEEs   L., VANDERBIESEN   V.,  DE  CUBBER  A., VANHOLder</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R.  Accumulation of arsenic species in serum of patients with chronic renal disease. Clin. Chem.</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1996, 42 (8 Part1) pp. 1231–1237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PEDAHzUR R., KATzENELsoN D., BARNEA N., LEV O.,  SHUVAL  H.I.,  FATTAL  B.,  ULITZUR  S.  The efficacy of long-lasting residual drinking water disinfectants based on hydrogen peroxide and silver. Wat Sci Tech 2000, 42, pp. 293-298</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MARCHEsI  I., FERRANTI  G., BARgELLINI  A., MARCHEgIANO  P., PREDIERI  G., STOUT  J.E., BORELLA</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   Monochloramine and chlorine dioxide for controlling Legionella pneumophila contamination:</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biocide levels and disinfection by-product formation in hospital water networks. J Water Health. 2013, 11(4) pp. 738-47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lastRenderedPageBreak/>
        <w:t>[74]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AMEs R.G., &amp; STRATToN J.W. Effect of chlorine dioxide water disinfection on hematologic and serum parameters of renal dialysis patients. Arch. Environ. Health. 1987, 42 (5) pp. 280–285</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BEK M.J., LAULE S., REICHERT-JüNgER  C., HoLTKAMP  R., WIESNER  M., KEYL  C. Methemoglobinemia  in critically ill patients during extended hemodialysis and simultaneous disinfection of the hospital water supply. Crit. Care. 2009, 13(5) R 162</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CHANG C.Y., HSIEH  Y.H., HSU  S.S., HU  P.Y.,  WANG  K.H.  The formation of disinfection by-products in water treated with chlorine dioxide. J. Hazard. Mater. 2000, 79 (1-2) pp. 89–102</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DAVIDOvITs M., BARAK A., CLEPER R., KRAUsE I., GAMzo Z., EIsENSTEIN  B.  Methaemoglobinaemia  and haemolysis associated with hydrogen peroxide in a paediatric haemodialysis centre: a warning note. Nephrol. Dial. Transplant. 2003, 18 (11) pp. 2354–2358</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GORDoN S.M., BLAND L.A., ALExANDER S.R., NEWMAN H.F., ARDUINo M.J., JARVIs W.R. Hemolysis associated with hydrogen peroxide at a pediatric dialysis center. Am. J. Nephrol. 1990, 10  (2)  pp. 123–127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[79]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NEWBIggINg N., PEEL W., BELL E., ISLEs C. Unexpected cyanosis in a hemodialysis patient – did someone add hydrogen peroxide to the dialysis water? NDT Plus. 2009, 2 pp. 158–160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SMITH R.P., &amp; WILLHITE C.C. Chlorine dioxide and  hemodialysis.  Regul.  Toxicol.  Pharmacol. 1990, 11 (1) pp. 42–62</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[81]</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BLAND L.A. Microbiological and endotoxin assays of haemodialysis fluids. Adv. Ren. Replace.</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Ther. 1995, 2 pp. 70–79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REASoNER D.J., &amp; GELDREICH E.E. A new medium for the enumeration and subculture of bacteria</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from potable water. Appl Environ Microbiol. 1985, 49(1) pp.1-7</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BOLAN G.,  REINgOLD  A.L.,  CARsON  L.A.,  SILCox   V.A.,  WooDLEy   C.L.,  HAYEs   P.S.  Hightower AW,  McFarland L, Brown JW 3rd, Petersen NJ, et al.   Infections with Mycobacterium chelonei    in patients receiving  dialysis  and  using  reprocessed  dialyzers. J.  Infect. Dis.  1985,  152  (5) pp. 1013–1019</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LowRy P.W., BECK-SAgUE C.M., BLAND  L.A., AgUERO  S.M., ARDUINo  M.J.,  MINUTH  A.N., MURRAY R.A., SwENsON J.M., JARVIs W.R. Mycobacterium chelonae infection among patients receiving high-flux dialysis in a haemodialysis clinic in California. J. Infect. Dis. 1990, 161 (1) pp. 85–90</w:t>
      </w:r>
      <w:r>
        <w:rPr>
          <w:rFonts w:ascii="Times New Roman" w:hAnsi="Times New Roman" w:cs="Times New Roman"/>
          <w:color w:val="000000"/>
          <w:lang w:val="en-US" w:eastAsia="en-US"/>
        </w:rPr>
        <w:t>.</w:t>
      </w:r>
    </w:p>
    <w:p w:rsidR="00575488" w:rsidRPr="00575488" w:rsidRDefault="00D73213" w:rsidP="00575488">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[85]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FIgEL I.C., MARANgONI P.R., TRALAMAzzA S.M., VICENTE V.A.,  DALzoTO PDo  R., do  NAscIMENTo M.M., dE Hoog G.S., PIMENTEL I.C. Black yeasts-like fungi isolated from dialysis water in hemodialysis units. Mycopathologia. 2013, 175(5-6) pp.413-20.</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[86]</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BLAND L.A., RIDGEWAy M.R., AgUERO S.M., CARsON L.A., FAVERo M.S. Potential bacteriologic</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and endotoxin hazards associated with liquid bicarbonate concentrate. Trans. Am. Soc. Artif.</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Intern. Organs. 1987, 33 pp. 542–545</w:t>
      </w:r>
      <w:r>
        <w:rPr>
          <w:rFonts w:ascii="Times New Roman" w:hAnsi="Times New Roman" w:cs="Times New Roman"/>
          <w:color w:val="000000"/>
          <w:lang w:val="en-US" w:eastAsia="en-US"/>
        </w:rPr>
        <w:t>.</w:t>
      </w:r>
    </w:p>
    <w:p w:rsidR="00575488" w:rsidRPr="00D73213"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[87]</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STUMM W., &amp; MORgAN J.J. Aquatic Chemistry: Chemical Equilibria and Rates in Natural Waters.</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John Wiley &amp; Sons, New York, Third Edition, 1996</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[88]</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DONLAN R.M., &amp; CosTERTON J.W. Biofilms: Survival mechanisms of clinically relevant microorganisms. Clin. Microbiol. Rev. 2002, 15 (2) pp. 167–193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[89]</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FLEMMINg H.-C., &amp; WINgENDER J. The biofilm matrix. Nat. Rev. Microbiol. 2010, 8 pp. 623–633</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[90]</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PUNAKABUTRA  N.,  NUNTHAPIsUD P.,  PIsITKUN   T.,  TIRANATHANAgUL   K.,  TUNGsANGA   K.,  EIAM- ONG S. Comparison of different culture methods on bacterial recovery in hemodialysis fluids. J. Med. Assoc. Thai. 2004, 87 pp. 1361–1367</w:t>
      </w:r>
      <w:r>
        <w:rPr>
          <w:rFonts w:ascii="Times New Roman" w:hAnsi="Times New Roman" w:cs="Times New Roman"/>
          <w:color w:val="000000"/>
          <w:lang w:val="en-US" w:eastAsia="en-US"/>
        </w:rPr>
        <w:t>.</w:t>
      </w:r>
    </w:p>
    <w:p w:rsidR="00575488" w:rsidRPr="00D73213" w:rsidRDefault="00575488" w:rsidP="00575488">
      <w:pPr>
        <w:pStyle w:val="Style12"/>
        <w:widowControl/>
        <w:ind w:firstLine="567"/>
        <w:rPr>
          <w:rFonts w:ascii="Times New Roman" w:hAnsi="Times New Roman" w:cs="Times New Roman"/>
          <w:color w:val="000000"/>
          <w:lang w:val="en-US" w:eastAsia="en-US"/>
        </w:rPr>
      </w:pPr>
      <w:r w:rsidRPr="00575488">
        <w:rPr>
          <w:rFonts w:ascii="Times New Roman" w:hAnsi="Times New Roman" w:cs="Times New Roman"/>
          <w:color w:val="000000"/>
          <w:lang w:val="kk-KZ" w:eastAsia="en-US"/>
        </w:rPr>
        <w:t xml:space="preserve"> </w:t>
      </w:r>
      <w:r w:rsidR="00D73213">
        <w:rPr>
          <w:rFonts w:ascii="Times New Roman" w:hAnsi="Times New Roman" w:cs="Times New Roman"/>
          <w:color w:val="000000"/>
          <w:lang w:val="kk-KZ" w:eastAsia="en-US"/>
        </w:rPr>
        <w:t>[91]</w:t>
      </w:r>
      <w:r w:rsidR="00D73213">
        <w:rPr>
          <w:rFonts w:ascii="Times New Roman" w:hAnsi="Times New Roman" w:cs="Times New Roman"/>
          <w:color w:val="000000"/>
          <w:lang w:val="en-US" w:eastAsia="en-US"/>
        </w:rPr>
        <w:t xml:space="preserve"> </w:t>
      </w:r>
      <w:r w:rsidRPr="00575488">
        <w:rPr>
          <w:rFonts w:ascii="Times New Roman" w:hAnsi="Times New Roman" w:cs="Times New Roman"/>
          <w:color w:val="000000"/>
          <w:lang w:val="kk-KZ" w:eastAsia="en-US"/>
        </w:rPr>
        <w:t>GROMILA  M., GAsćo  J., BUsqUELs  A., GIL  J., BERNABEU  R., BUADEs  J.M., LALUCAT  J.   Identification  of culturable bacteria present in hemodialysis water and fluid. FEMS Microbiol. Ecol. 2005, 52 (1) pp. 101–114</w:t>
      </w:r>
      <w:r w:rsidR="00D73213">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lastRenderedPageBreak/>
        <w:t>[92]</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LIBMAN V. Use of Reynolds number as a criteria for design of high-purity water systems.Ultrapure Water. 2006, 23 pp. 26–34</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[93]</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FLEMMINg H.C. Bio fouling in water systems – cases, causes and countermeasures. Appl.</w:t>
      </w:r>
      <w:r w:rsidR="00575488">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Microbiol. Biotechnol. 2002, 59 (6) pp. 629–640</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[94]</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KHARAzMI A., GIWERCMAN B., HØIBy N. Robbins device in biofilm research. Methods Enzymol. 1999, 310 pp. 207–215</w:t>
      </w:r>
      <w:r>
        <w:rPr>
          <w:rFonts w:ascii="Times New Roman" w:hAnsi="Times New Roman" w:cs="Times New Roman"/>
          <w:color w:val="000000"/>
          <w:lang w:val="en-US" w:eastAsia="en-US"/>
        </w:rPr>
        <w:t>.</w:t>
      </w:r>
    </w:p>
    <w:p w:rsidR="00575488" w:rsidRPr="00D73213" w:rsidRDefault="00D73213" w:rsidP="00575488">
      <w:pPr>
        <w:pStyle w:val="Style12"/>
        <w:widowControl/>
        <w:ind w:firstLine="567"/>
        <w:rPr>
          <w:rFonts w:ascii="Times New Roman" w:hAnsi="Times New Roman" w:cs="Times New Roman"/>
          <w:color w:val="000000"/>
          <w:lang w:val="kk-KZ" w:eastAsia="en-US"/>
        </w:rPr>
      </w:pPr>
      <w:r>
        <w:rPr>
          <w:rFonts w:ascii="Times New Roman" w:hAnsi="Times New Roman" w:cs="Times New Roman"/>
          <w:color w:val="000000"/>
          <w:lang w:val="kk-KZ" w:eastAsia="en-US"/>
        </w:rPr>
        <w:t>[95]</w:t>
      </w:r>
      <w:r>
        <w:rPr>
          <w:rFonts w:ascii="Times New Roman" w:hAnsi="Times New Roman" w:cs="Times New Roman"/>
          <w:color w:val="000000"/>
          <w:lang w:val="en-US" w:eastAsia="en-US"/>
        </w:rPr>
        <w:t xml:space="preserve"> </w:t>
      </w:r>
      <w:r w:rsidR="00575488" w:rsidRPr="00575488">
        <w:rPr>
          <w:rFonts w:ascii="Times New Roman" w:hAnsi="Times New Roman" w:cs="Times New Roman"/>
          <w:color w:val="000000"/>
          <w:lang w:val="kk-KZ" w:eastAsia="en-US"/>
        </w:rPr>
        <w:t>JACOBs L., DEBRUyN E.E., CLOETE T.E. Spectrophotometric monitoring of bio fouling. Water Sci.Technol. 1996, 34 pp. 533–540</w:t>
      </w:r>
      <w:r w:rsidRPr="00D73213">
        <w:rPr>
          <w:rFonts w:ascii="Times New Roman" w:hAnsi="Times New Roman" w:cs="Times New Roman"/>
          <w:color w:val="000000"/>
          <w:lang w:val="kk-KZ" w:eastAsia="en-US"/>
        </w:rPr>
        <w:t>.</w:t>
      </w:r>
    </w:p>
    <w:p w:rsidR="00BD5AD7" w:rsidRDefault="00D73213" w:rsidP="00D73213">
      <w:pPr>
        <w:pStyle w:val="Style12"/>
        <w:widowControl/>
        <w:ind w:firstLine="567"/>
        <w:rPr>
          <w:rFonts w:ascii="Times New Roman" w:hAnsi="Times New Roman" w:cs="Times New Roman"/>
          <w:color w:val="000000"/>
          <w:lang w:val="en-US" w:eastAsia="en-US"/>
        </w:rPr>
      </w:pPr>
      <w:r>
        <w:rPr>
          <w:rFonts w:ascii="Times New Roman" w:hAnsi="Times New Roman" w:cs="Times New Roman"/>
          <w:color w:val="000000"/>
          <w:lang w:val="kk-KZ" w:eastAsia="en-US"/>
        </w:rPr>
        <w:t>[96]</w:t>
      </w:r>
      <w:r w:rsidRPr="00D73213">
        <w:rPr>
          <w:rFonts w:ascii="Times New Roman" w:hAnsi="Times New Roman" w:cs="Times New Roman"/>
          <w:color w:val="000000"/>
          <w:lang w:val="kk-KZ" w:eastAsia="en-US"/>
        </w:rPr>
        <w:t xml:space="preserve"> </w:t>
      </w:r>
      <w:r w:rsidR="00575488" w:rsidRPr="00575488">
        <w:rPr>
          <w:rFonts w:ascii="Times New Roman" w:hAnsi="Times New Roman" w:cs="Times New Roman"/>
          <w:color w:val="000000"/>
          <w:lang w:val="kk-KZ" w:eastAsia="en-US"/>
        </w:rPr>
        <w:t>CosTERTON J.W., CHENG K.J., GEESEy G.G., LADD T.I., NICKEL  J.C.,  DAsgUPTA  M.,  MARRIE  T.J.  Bacterial biofilms in nature and disease. Annu. Rev. Microbiol. 1987, 41 pp. 435–464</w:t>
      </w:r>
      <w:r>
        <w:rPr>
          <w:rFonts w:ascii="Times New Roman" w:hAnsi="Times New Roman" w:cs="Times New Roman"/>
          <w:color w:val="000000"/>
          <w:lang w:val="en-US" w:eastAsia="en-US"/>
        </w:rPr>
        <w:t>.</w:t>
      </w:r>
    </w:p>
    <w:p w:rsidR="00D73213" w:rsidRPr="00D73213" w:rsidRDefault="00D73213" w:rsidP="00D73213">
      <w:pPr>
        <w:pStyle w:val="Style12"/>
        <w:widowControl/>
        <w:ind w:firstLine="567"/>
        <w:rPr>
          <w:rFonts w:ascii="Times New Roman" w:hAnsi="Times New Roman" w:cs="Times New Roman"/>
          <w:color w:val="000000"/>
          <w:lang w:val="en-US" w:eastAsia="en-US"/>
        </w:rPr>
        <w:sectPr w:rsidR="00D73213" w:rsidRPr="00D73213" w:rsidSect="00293FB0">
          <w:pgSz w:w="11906" w:h="16838" w:code="9"/>
          <w:pgMar w:top="1418" w:right="1418" w:bottom="1418" w:left="1134" w:header="1021" w:footer="1021" w:gutter="0"/>
          <w:pgNumType w:start="1"/>
          <w:cols w:space="708"/>
          <w:docGrid w:linePitch="360"/>
        </w:sectPr>
      </w:pPr>
    </w:p>
    <w:p w:rsidR="00C37B43" w:rsidRPr="00D73213" w:rsidRDefault="00C37B43" w:rsidP="00C37B43">
      <w:pPr>
        <w:widowControl/>
        <w:autoSpaceDE/>
        <w:autoSpaceDN/>
        <w:adjustRightInd/>
        <w:ind w:firstLine="0"/>
        <w:jc w:val="center"/>
        <w:rPr>
          <w:b/>
          <w:sz w:val="24"/>
          <w:szCs w:val="24"/>
          <w:lang w:val="kk-KZ"/>
        </w:rPr>
      </w:pPr>
      <w:r w:rsidRPr="00D73213">
        <w:rPr>
          <w:b/>
          <w:sz w:val="24"/>
          <w:szCs w:val="24"/>
          <w:lang w:val="kk-KZ"/>
        </w:rPr>
        <w:lastRenderedPageBreak/>
        <w:t>Приложение B.A</w:t>
      </w:r>
    </w:p>
    <w:p w:rsidR="00C37B43" w:rsidRPr="00D73213" w:rsidRDefault="00C37B43" w:rsidP="00C37B43">
      <w:pPr>
        <w:widowControl/>
        <w:autoSpaceDE/>
        <w:autoSpaceDN/>
        <w:adjustRightInd/>
        <w:ind w:firstLine="0"/>
        <w:jc w:val="center"/>
        <w:rPr>
          <w:i/>
          <w:sz w:val="24"/>
          <w:szCs w:val="24"/>
          <w:lang w:val="kk-KZ"/>
        </w:rPr>
      </w:pPr>
      <w:r w:rsidRPr="00D73213">
        <w:rPr>
          <w:i/>
          <w:sz w:val="24"/>
          <w:szCs w:val="24"/>
          <w:lang w:val="kk-KZ"/>
        </w:rPr>
        <w:t>(информационное)</w:t>
      </w:r>
    </w:p>
    <w:p w:rsidR="00C37B43" w:rsidRPr="00D73213" w:rsidRDefault="00C37B43" w:rsidP="00C37B43">
      <w:pPr>
        <w:widowControl/>
        <w:autoSpaceDE/>
        <w:autoSpaceDN/>
        <w:adjustRightInd/>
        <w:ind w:firstLine="0"/>
        <w:jc w:val="center"/>
        <w:rPr>
          <w:b/>
          <w:i/>
          <w:sz w:val="24"/>
          <w:szCs w:val="24"/>
          <w:lang w:val="kk-KZ"/>
        </w:rPr>
      </w:pPr>
    </w:p>
    <w:p w:rsidR="00C37B43" w:rsidRPr="00D06CDC" w:rsidRDefault="00C37B43" w:rsidP="00C37B43">
      <w:pPr>
        <w:widowControl/>
        <w:autoSpaceDE/>
        <w:autoSpaceDN/>
        <w:adjustRightInd/>
        <w:ind w:firstLine="0"/>
        <w:jc w:val="center"/>
        <w:rPr>
          <w:b/>
          <w:sz w:val="24"/>
          <w:szCs w:val="24"/>
        </w:rPr>
      </w:pPr>
      <w:r w:rsidRPr="00D73213">
        <w:rPr>
          <w:b/>
          <w:sz w:val="24"/>
          <w:szCs w:val="24"/>
          <w:lang w:val="kk-KZ"/>
        </w:rPr>
        <w:t xml:space="preserve">Сведения </w:t>
      </w:r>
      <w:r w:rsidRPr="00D06CDC">
        <w:rPr>
          <w:b/>
          <w:sz w:val="24"/>
          <w:szCs w:val="24"/>
        </w:rPr>
        <w:t>о соответствии национального стандарта ссылочному международному стандарту</w:t>
      </w:r>
    </w:p>
    <w:p w:rsidR="00C37B43" w:rsidRPr="00D06CDC" w:rsidRDefault="00C37B43" w:rsidP="00C37B43">
      <w:pPr>
        <w:widowControl/>
        <w:autoSpaceDE/>
        <w:autoSpaceDN/>
        <w:adjustRightInd/>
        <w:ind w:firstLine="0"/>
        <w:jc w:val="center"/>
        <w:rPr>
          <w:b/>
          <w:sz w:val="24"/>
          <w:szCs w:val="24"/>
        </w:rPr>
      </w:pPr>
    </w:p>
    <w:p w:rsidR="00C37B43" w:rsidRPr="00D06CDC" w:rsidRDefault="00C37B43" w:rsidP="00C37B43">
      <w:pPr>
        <w:widowControl/>
        <w:autoSpaceDE/>
        <w:autoSpaceDN/>
        <w:adjustRightInd/>
        <w:spacing w:after="120"/>
        <w:ind w:firstLine="0"/>
        <w:jc w:val="center"/>
        <w:rPr>
          <w:b/>
          <w:sz w:val="24"/>
          <w:szCs w:val="24"/>
        </w:rPr>
      </w:pPr>
      <w:r w:rsidRPr="00D06CDC">
        <w:rPr>
          <w:b/>
          <w:sz w:val="24"/>
          <w:szCs w:val="24"/>
        </w:rPr>
        <w:t>Таблица В.А</w:t>
      </w:r>
      <w:proofErr w:type="gramStart"/>
      <w:r w:rsidRPr="00D06CDC">
        <w:rPr>
          <w:b/>
          <w:sz w:val="24"/>
          <w:szCs w:val="24"/>
        </w:rPr>
        <w:t>1</w:t>
      </w:r>
      <w:proofErr w:type="gramEnd"/>
      <w:r w:rsidRPr="00D06CDC">
        <w:rPr>
          <w:b/>
          <w:sz w:val="24"/>
          <w:szCs w:val="24"/>
        </w:rPr>
        <w:t xml:space="preserve"> – Сведения о соответствии национального стандарта ссылочному международному стандарту</w:t>
      </w:r>
    </w:p>
    <w:tbl>
      <w:tblPr>
        <w:tblStyle w:val="aa"/>
        <w:tblW w:w="9747" w:type="dxa"/>
        <w:tblLayout w:type="fixed"/>
        <w:tblLook w:val="04A0" w:firstRow="1" w:lastRow="0" w:firstColumn="1" w:lastColumn="0" w:noHBand="0" w:noVBand="1"/>
      </w:tblPr>
      <w:tblGrid>
        <w:gridCol w:w="4361"/>
        <w:gridCol w:w="1701"/>
        <w:gridCol w:w="3685"/>
      </w:tblGrid>
      <w:tr w:rsidR="00C37B43" w:rsidRPr="00D06CDC" w:rsidTr="00E758BC">
        <w:tc>
          <w:tcPr>
            <w:tcW w:w="4361" w:type="dxa"/>
            <w:tcBorders>
              <w:bottom w:val="double" w:sz="4" w:space="0" w:color="auto"/>
            </w:tcBorders>
          </w:tcPr>
          <w:p w:rsidR="00C37B43" w:rsidRPr="00D06CDC" w:rsidRDefault="00C37B43" w:rsidP="00C37B43">
            <w:pPr>
              <w:widowControl/>
              <w:autoSpaceDE/>
              <w:autoSpaceDN/>
              <w:adjustRightInd/>
              <w:ind w:firstLine="0"/>
              <w:jc w:val="center"/>
              <w:rPr>
                <w:rFonts w:ascii="Times New Roman" w:hAnsi="Times New Roman"/>
                <w:sz w:val="24"/>
                <w:szCs w:val="24"/>
              </w:rPr>
            </w:pPr>
            <w:r w:rsidRPr="00D06CDC">
              <w:rPr>
                <w:rFonts w:ascii="Times New Roman" w:hAnsi="Times New Roman"/>
                <w:sz w:val="24"/>
                <w:szCs w:val="24"/>
              </w:rPr>
              <w:t>Обозначение и наименование ссылочного международного стандарта</w:t>
            </w:r>
          </w:p>
        </w:tc>
        <w:tc>
          <w:tcPr>
            <w:tcW w:w="1701" w:type="dxa"/>
            <w:tcBorders>
              <w:bottom w:val="double" w:sz="4" w:space="0" w:color="auto"/>
            </w:tcBorders>
          </w:tcPr>
          <w:p w:rsidR="00C37B43" w:rsidRPr="00D06CDC" w:rsidRDefault="00C37B43" w:rsidP="004C0739">
            <w:pPr>
              <w:widowControl/>
              <w:autoSpaceDE/>
              <w:autoSpaceDN/>
              <w:adjustRightInd/>
              <w:ind w:firstLine="0"/>
              <w:jc w:val="center"/>
              <w:rPr>
                <w:rFonts w:ascii="Times New Roman" w:hAnsi="Times New Roman"/>
                <w:sz w:val="24"/>
                <w:szCs w:val="24"/>
              </w:rPr>
            </w:pPr>
            <w:r w:rsidRPr="00D06CDC">
              <w:rPr>
                <w:rFonts w:ascii="Times New Roman" w:hAnsi="Times New Roman"/>
                <w:sz w:val="24"/>
                <w:szCs w:val="24"/>
              </w:rPr>
              <w:t xml:space="preserve">Степень </w:t>
            </w:r>
          </w:p>
          <w:p w:rsidR="00C37B43" w:rsidRPr="00D06CDC" w:rsidRDefault="00C37B43" w:rsidP="004C0739">
            <w:pPr>
              <w:ind w:firstLine="0"/>
              <w:jc w:val="center"/>
              <w:rPr>
                <w:rFonts w:ascii="Times New Roman" w:hAnsi="Times New Roman"/>
                <w:sz w:val="24"/>
                <w:szCs w:val="24"/>
              </w:rPr>
            </w:pPr>
            <w:r w:rsidRPr="00D06CDC">
              <w:rPr>
                <w:rFonts w:ascii="Times New Roman" w:hAnsi="Times New Roman"/>
                <w:sz w:val="24"/>
                <w:szCs w:val="24"/>
              </w:rPr>
              <w:t>соответствия</w:t>
            </w:r>
          </w:p>
        </w:tc>
        <w:tc>
          <w:tcPr>
            <w:tcW w:w="3685" w:type="dxa"/>
            <w:tcBorders>
              <w:bottom w:val="double" w:sz="4" w:space="0" w:color="auto"/>
            </w:tcBorders>
          </w:tcPr>
          <w:p w:rsidR="00C37B43" w:rsidRPr="00D06CDC" w:rsidRDefault="00C37B43" w:rsidP="004C0739">
            <w:pPr>
              <w:widowControl/>
              <w:autoSpaceDE/>
              <w:autoSpaceDN/>
              <w:adjustRightInd/>
              <w:ind w:firstLine="0"/>
              <w:jc w:val="center"/>
              <w:rPr>
                <w:rFonts w:ascii="Times New Roman" w:hAnsi="Times New Roman"/>
                <w:sz w:val="24"/>
                <w:szCs w:val="24"/>
              </w:rPr>
            </w:pPr>
            <w:r w:rsidRPr="00D06CDC">
              <w:rPr>
                <w:rFonts w:ascii="Times New Roman" w:hAnsi="Times New Roman"/>
                <w:sz w:val="24"/>
                <w:szCs w:val="24"/>
              </w:rPr>
              <w:t>Обозначение и наименования национального стандарта</w:t>
            </w:r>
          </w:p>
        </w:tc>
      </w:tr>
      <w:tr w:rsidR="00C37B43" w:rsidRPr="00D06CDC" w:rsidTr="00E758BC">
        <w:tc>
          <w:tcPr>
            <w:tcW w:w="4361" w:type="dxa"/>
            <w:tcBorders>
              <w:top w:val="single" w:sz="4" w:space="0" w:color="auto"/>
              <w:left w:val="single" w:sz="4" w:space="0" w:color="auto"/>
              <w:bottom w:val="single" w:sz="4" w:space="0" w:color="auto"/>
              <w:right w:val="single" w:sz="4" w:space="0" w:color="auto"/>
            </w:tcBorders>
          </w:tcPr>
          <w:p w:rsidR="00C37B43" w:rsidRPr="00D06CDC" w:rsidRDefault="006E6C43" w:rsidP="004C0739">
            <w:pPr>
              <w:pStyle w:val="Style30"/>
              <w:widowControl/>
              <w:ind w:firstLine="0"/>
              <w:rPr>
                <w:rFonts w:ascii="Times New Roman" w:eastAsia="Arial Unicode MS" w:hAnsi="Times New Roman"/>
                <w:bCs/>
                <w:lang w:eastAsia="en-US"/>
              </w:rPr>
            </w:pPr>
            <w:r w:rsidRPr="00D06CDC">
              <w:rPr>
                <w:rFonts w:ascii="Times New Roman" w:eastAsia="Arial Unicode MS" w:hAnsi="Times New Roman"/>
                <w:bCs/>
                <w:lang w:eastAsia="en-US"/>
              </w:rPr>
              <w:t xml:space="preserve">ISO 23500-3:2019 Preparation and quality management of fluids for haemodialysis and related therapies — Part 3: </w:t>
            </w:r>
            <w:proofErr w:type="gramStart"/>
            <w:r w:rsidRPr="00D06CDC">
              <w:rPr>
                <w:rFonts w:ascii="Times New Roman" w:eastAsia="Arial Unicode MS" w:hAnsi="Times New Roman"/>
                <w:bCs/>
                <w:lang w:eastAsia="en-US"/>
              </w:rPr>
              <w:t>Water for haemodialysis and related therapies (Подготовка жидкостей для гемодиализа и сопутствующей терапии и менеджмент качества — Часть 3:</w:t>
            </w:r>
            <w:proofErr w:type="gramEnd"/>
            <w:r w:rsidRPr="00D06CDC">
              <w:rPr>
                <w:rFonts w:ascii="Times New Roman" w:eastAsia="Arial Unicode MS" w:hAnsi="Times New Roman"/>
                <w:bCs/>
                <w:lang w:eastAsia="en-US"/>
              </w:rPr>
              <w:t xml:space="preserve">  </w:t>
            </w:r>
            <w:proofErr w:type="gramStart"/>
            <w:r w:rsidRPr="00D06CDC">
              <w:rPr>
                <w:rFonts w:ascii="Times New Roman" w:eastAsia="Arial Unicode MS" w:hAnsi="Times New Roman"/>
                <w:bCs/>
                <w:lang w:eastAsia="en-US"/>
              </w:rPr>
              <w:t>Качество воды для гемодиализа и сопутствующей терапии)</w:t>
            </w:r>
            <w:proofErr w:type="gramEnd"/>
          </w:p>
        </w:tc>
        <w:tc>
          <w:tcPr>
            <w:tcW w:w="1701" w:type="dxa"/>
            <w:tcBorders>
              <w:top w:val="single" w:sz="4" w:space="0" w:color="auto"/>
              <w:left w:val="single" w:sz="4" w:space="0" w:color="auto"/>
              <w:bottom w:val="single" w:sz="4" w:space="0" w:color="auto"/>
              <w:right w:val="single" w:sz="4" w:space="0" w:color="auto"/>
            </w:tcBorders>
          </w:tcPr>
          <w:p w:rsidR="00C37B43" w:rsidRPr="00D06CDC" w:rsidRDefault="006E6C43" w:rsidP="004C0739">
            <w:pPr>
              <w:ind w:firstLine="0"/>
              <w:jc w:val="center"/>
              <w:rPr>
                <w:rFonts w:ascii="Times New Roman" w:hAnsi="Times New Roman"/>
                <w:sz w:val="24"/>
                <w:szCs w:val="24"/>
                <w:lang w:val="en-US"/>
              </w:rPr>
            </w:pPr>
            <w:r w:rsidRPr="00D06CDC">
              <w:rPr>
                <w:rFonts w:ascii="Times New Roman" w:hAnsi="Times New Roman"/>
                <w:sz w:val="24"/>
                <w:szCs w:val="24"/>
                <w:lang w:val="en-US"/>
              </w:rPr>
              <w:t>MOD</w:t>
            </w:r>
          </w:p>
        </w:tc>
        <w:tc>
          <w:tcPr>
            <w:tcW w:w="3685" w:type="dxa"/>
            <w:tcBorders>
              <w:top w:val="single" w:sz="4" w:space="0" w:color="auto"/>
              <w:left w:val="single" w:sz="4" w:space="0" w:color="auto"/>
              <w:bottom w:val="single" w:sz="4" w:space="0" w:color="auto"/>
              <w:right w:val="single" w:sz="4" w:space="0" w:color="auto"/>
            </w:tcBorders>
          </w:tcPr>
          <w:p w:rsidR="00C37B43" w:rsidRPr="00D06CDC" w:rsidRDefault="006E6C43" w:rsidP="004C0739">
            <w:pPr>
              <w:widowControl/>
              <w:autoSpaceDE/>
              <w:autoSpaceDN/>
              <w:adjustRightInd/>
              <w:ind w:firstLine="0"/>
              <w:rPr>
                <w:rFonts w:ascii="Times New Roman" w:hAnsi="Times New Roman"/>
                <w:sz w:val="24"/>
                <w:szCs w:val="24"/>
                <w:lang w:val="kk-KZ"/>
              </w:rPr>
            </w:pPr>
            <w:r w:rsidRPr="00D06CDC">
              <w:rPr>
                <w:rFonts w:ascii="Times New Roman" w:hAnsi="Times New Roman"/>
                <w:sz w:val="24"/>
                <w:szCs w:val="24"/>
                <w:lang w:val="kk-KZ"/>
              </w:rPr>
              <w:t>СТ РК 3152-2018 Подготовка и управление качеством жидкостей для гемодиализа и связанных с ними методов лечения. Часть 3. Вода для гемодиализа и связанных с ними методов лечения</w:t>
            </w:r>
          </w:p>
        </w:tc>
      </w:tr>
      <w:tr w:rsidR="00E758BC" w:rsidRPr="00D06CDC" w:rsidTr="00E758BC">
        <w:tc>
          <w:tcPr>
            <w:tcW w:w="4361" w:type="dxa"/>
            <w:tcBorders>
              <w:top w:val="single" w:sz="4" w:space="0" w:color="auto"/>
              <w:left w:val="single" w:sz="4" w:space="0" w:color="auto"/>
              <w:bottom w:val="single" w:sz="4" w:space="0" w:color="auto"/>
              <w:right w:val="single" w:sz="4" w:space="0" w:color="auto"/>
            </w:tcBorders>
          </w:tcPr>
          <w:p w:rsidR="00E758BC" w:rsidRPr="00E758BC" w:rsidRDefault="00E758BC" w:rsidP="00E758BC">
            <w:pPr>
              <w:pStyle w:val="Style30"/>
              <w:widowControl/>
              <w:ind w:firstLine="0"/>
              <w:rPr>
                <w:rFonts w:eastAsia="Arial Unicode MS"/>
                <w:bCs/>
                <w:lang w:val="kk-KZ" w:eastAsia="en-US"/>
              </w:rPr>
            </w:pPr>
            <w:r w:rsidRPr="00E758BC">
              <w:rPr>
                <w:rFonts w:ascii="Times New Roman" w:eastAsia="Arial Unicode MS" w:hAnsi="Times New Roman"/>
                <w:bCs/>
                <w:lang w:val="en-US" w:eastAsia="en-US"/>
              </w:rPr>
              <w:t>ISO</w:t>
            </w:r>
            <w:r w:rsidRPr="00A51084">
              <w:rPr>
                <w:rFonts w:ascii="Times New Roman" w:eastAsia="Arial Unicode MS" w:hAnsi="Times New Roman"/>
                <w:bCs/>
                <w:lang w:val="en-US" w:eastAsia="en-US"/>
              </w:rPr>
              <w:t xml:space="preserve"> 23500-5:2019 </w:t>
            </w:r>
            <w:r w:rsidRPr="00E758BC">
              <w:rPr>
                <w:rFonts w:ascii="Times New Roman" w:eastAsia="Arial Unicode MS" w:hAnsi="Times New Roman"/>
                <w:bCs/>
                <w:lang w:val="en-US" w:eastAsia="en-US"/>
              </w:rPr>
              <w:t>Preparation</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and</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quality</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management</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of</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fluids</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for</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haemodialysis</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and</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related</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therapies</w:t>
            </w:r>
            <w:r w:rsidRPr="00A51084">
              <w:rPr>
                <w:rFonts w:ascii="Times New Roman" w:eastAsia="Arial Unicode MS" w:hAnsi="Times New Roman"/>
                <w:bCs/>
                <w:lang w:val="en-US" w:eastAsia="en-US"/>
              </w:rPr>
              <w:t xml:space="preserve"> — </w:t>
            </w:r>
            <w:r w:rsidRPr="00E758BC">
              <w:rPr>
                <w:rFonts w:ascii="Times New Roman" w:eastAsia="Arial Unicode MS" w:hAnsi="Times New Roman"/>
                <w:bCs/>
                <w:lang w:val="en-US" w:eastAsia="en-US"/>
              </w:rPr>
              <w:t>Part</w:t>
            </w:r>
            <w:r w:rsidRPr="00A51084">
              <w:rPr>
                <w:rFonts w:ascii="Times New Roman" w:eastAsia="Arial Unicode MS" w:hAnsi="Times New Roman"/>
                <w:bCs/>
                <w:lang w:val="en-US" w:eastAsia="en-US"/>
              </w:rPr>
              <w:t xml:space="preserve"> 5: </w:t>
            </w:r>
            <w:r w:rsidRPr="00E758BC">
              <w:rPr>
                <w:rFonts w:ascii="Times New Roman" w:eastAsia="Arial Unicode MS" w:hAnsi="Times New Roman"/>
                <w:bCs/>
                <w:lang w:val="en-US" w:eastAsia="en-US"/>
              </w:rPr>
              <w:t>Quality</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of</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dialysis</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fluid</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for</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haemodialysis</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and</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related</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val="en-US" w:eastAsia="en-US"/>
              </w:rPr>
              <w:t>therapies</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Подготовка</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жидкостей</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для</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гемодиализа</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и</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сопутствующей</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терапии</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и</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менеджмент</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качества</w:t>
            </w:r>
            <w:r w:rsidRPr="00A51084">
              <w:rPr>
                <w:rFonts w:ascii="Times New Roman" w:eastAsia="Arial Unicode MS" w:hAnsi="Times New Roman"/>
                <w:bCs/>
                <w:lang w:val="en-US" w:eastAsia="en-US"/>
              </w:rPr>
              <w:t xml:space="preserve">. </w:t>
            </w:r>
            <w:r w:rsidRPr="00E758BC">
              <w:rPr>
                <w:rFonts w:ascii="Times New Roman" w:eastAsia="Arial Unicode MS" w:hAnsi="Times New Roman"/>
                <w:bCs/>
                <w:lang w:eastAsia="en-US"/>
              </w:rPr>
              <w:t xml:space="preserve">Часть 5. </w:t>
            </w:r>
            <w:proofErr w:type="gramStart"/>
            <w:r w:rsidRPr="00E758BC">
              <w:rPr>
                <w:rFonts w:ascii="Times New Roman" w:eastAsia="Arial Unicode MS" w:hAnsi="Times New Roman"/>
                <w:bCs/>
                <w:lang w:eastAsia="en-US"/>
              </w:rPr>
              <w:t>Качество жидкостей для гемодиализа и сопутствующей терапии)</w:t>
            </w:r>
            <w:proofErr w:type="gramEnd"/>
          </w:p>
        </w:tc>
        <w:tc>
          <w:tcPr>
            <w:tcW w:w="1701" w:type="dxa"/>
            <w:tcBorders>
              <w:top w:val="single" w:sz="4" w:space="0" w:color="auto"/>
              <w:left w:val="single" w:sz="4" w:space="0" w:color="auto"/>
              <w:bottom w:val="single" w:sz="4" w:space="0" w:color="auto"/>
              <w:right w:val="single" w:sz="4" w:space="0" w:color="auto"/>
            </w:tcBorders>
          </w:tcPr>
          <w:p w:rsidR="00E758BC" w:rsidRPr="00E758BC" w:rsidRDefault="00E758BC" w:rsidP="004C0739">
            <w:pPr>
              <w:ind w:firstLine="0"/>
              <w:jc w:val="center"/>
              <w:rPr>
                <w:rFonts w:ascii="Times New Roman" w:hAnsi="Times New Roman"/>
                <w:sz w:val="24"/>
                <w:szCs w:val="24"/>
                <w:lang w:val="en-US"/>
              </w:rPr>
            </w:pPr>
            <w:r w:rsidRPr="00E758BC">
              <w:rPr>
                <w:rFonts w:ascii="Times New Roman" w:hAnsi="Times New Roman"/>
                <w:sz w:val="24"/>
                <w:szCs w:val="24"/>
                <w:lang w:val="en-US"/>
              </w:rPr>
              <w:t>IDT</w:t>
            </w:r>
          </w:p>
        </w:tc>
        <w:tc>
          <w:tcPr>
            <w:tcW w:w="3685" w:type="dxa"/>
            <w:tcBorders>
              <w:top w:val="single" w:sz="4" w:space="0" w:color="auto"/>
              <w:left w:val="single" w:sz="4" w:space="0" w:color="auto"/>
              <w:bottom w:val="single" w:sz="4" w:space="0" w:color="auto"/>
              <w:right w:val="single" w:sz="4" w:space="0" w:color="auto"/>
            </w:tcBorders>
          </w:tcPr>
          <w:p w:rsidR="00E758BC" w:rsidRPr="00E758BC" w:rsidRDefault="00E758BC" w:rsidP="004C0739">
            <w:pPr>
              <w:widowControl/>
              <w:autoSpaceDE/>
              <w:autoSpaceDN/>
              <w:adjustRightInd/>
              <w:ind w:firstLine="0"/>
              <w:rPr>
                <w:rFonts w:ascii="Times New Roman" w:hAnsi="Times New Roman"/>
                <w:sz w:val="24"/>
                <w:szCs w:val="24"/>
                <w:lang w:val="kk-KZ"/>
              </w:rPr>
            </w:pPr>
            <w:r w:rsidRPr="00E758BC">
              <w:rPr>
                <w:rFonts w:ascii="Times New Roman" w:hAnsi="Times New Roman"/>
                <w:sz w:val="24"/>
                <w:szCs w:val="24"/>
                <w:lang w:val="kk-KZ"/>
              </w:rPr>
              <w:t>СТ РК ISO 23500-5</w:t>
            </w:r>
            <w:r w:rsidRPr="00E758BC">
              <w:rPr>
                <w:rFonts w:ascii="Times New Roman" w:hAnsi="Times New Roman"/>
                <w:sz w:val="24"/>
                <w:szCs w:val="24"/>
              </w:rPr>
              <w:t>*</w:t>
            </w:r>
            <w:r w:rsidRPr="00E758BC">
              <w:rPr>
                <w:rFonts w:ascii="Times New Roman" w:hAnsi="Times New Roman"/>
                <w:sz w:val="24"/>
                <w:szCs w:val="24"/>
                <w:lang w:val="kk-KZ"/>
              </w:rPr>
              <w:t xml:space="preserve"> «Подготовка и управление качеством жидкостей для гемодиализа и связанных с ними методов лечения. Часть 5. Качество диализирующего раствора для гемодиализа и связанных с ним методов лечения»</w:t>
            </w:r>
          </w:p>
        </w:tc>
      </w:tr>
      <w:tr w:rsidR="006E1FFD" w:rsidRPr="00860443" w:rsidTr="00F07345">
        <w:tc>
          <w:tcPr>
            <w:tcW w:w="9747" w:type="dxa"/>
            <w:gridSpan w:val="3"/>
            <w:tcBorders>
              <w:top w:val="single" w:sz="4" w:space="0" w:color="auto"/>
              <w:left w:val="single" w:sz="4" w:space="0" w:color="auto"/>
              <w:bottom w:val="single" w:sz="4" w:space="0" w:color="auto"/>
              <w:right w:val="single" w:sz="4" w:space="0" w:color="auto"/>
            </w:tcBorders>
          </w:tcPr>
          <w:p w:rsidR="006E1FFD" w:rsidRPr="00D06CDC" w:rsidRDefault="006E1FFD" w:rsidP="006E1FFD">
            <w:pPr>
              <w:widowControl/>
              <w:autoSpaceDE/>
              <w:autoSpaceDN/>
              <w:adjustRightInd/>
              <w:spacing w:before="120" w:after="120"/>
              <w:ind w:firstLine="567"/>
              <w:rPr>
                <w:rFonts w:ascii="Times New Roman" w:hAnsi="Times New Roman"/>
                <w:lang w:val="kk-KZ"/>
              </w:rPr>
            </w:pPr>
            <w:r w:rsidRPr="00D06CDC">
              <w:rPr>
                <w:rFonts w:ascii="Times New Roman" w:hAnsi="Times New Roman"/>
                <w:lang w:val="kk-KZ"/>
              </w:rPr>
              <w:t>* на стадии разработки</w:t>
            </w:r>
          </w:p>
        </w:tc>
      </w:tr>
    </w:tbl>
    <w:p w:rsidR="00A964B6" w:rsidRPr="00860443" w:rsidRDefault="00A964B6">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293FB0" w:rsidRPr="00860443" w:rsidRDefault="00293FB0">
      <w:pPr>
        <w:widowControl/>
        <w:autoSpaceDE/>
        <w:autoSpaceDN/>
        <w:adjustRightInd/>
        <w:ind w:firstLine="0"/>
        <w:jc w:val="left"/>
        <w:rPr>
          <w:sz w:val="28"/>
          <w:szCs w:val="28"/>
          <w:highlight w:val="yellow"/>
        </w:rPr>
      </w:pPr>
    </w:p>
    <w:p w:rsidR="00C37B43" w:rsidRPr="00860443" w:rsidRDefault="00C37B43">
      <w:pPr>
        <w:widowControl/>
        <w:autoSpaceDE/>
        <w:autoSpaceDN/>
        <w:adjustRightInd/>
        <w:ind w:firstLine="0"/>
        <w:jc w:val="left"/>
        <w:rPr>
          <w:sz w:val="28"/>
          <w:szCs w:val="28"/>
          <w:highlight w:val="yellow"/>
        </w:rPr>
      </w:pPr>
    </w:p>
    <w:p w:rsidR="00C37B43" w:rsidRPr="00860443" w:rsidRDefault="00C37B43">
      <w:pPr>
        <w:widowControl/>
        <w:autoSpaceDE/>
        <w:autoSpaceDN/>
        <w:adjustRightInd/>
        <w:ind w:firstLine="0"/>
        <w:jc w:val="left"/>
        <w:rPr>
          <w:sz w:val="28"/>
          <w:szCs w:val="28"/>
          <w:highlight w:val="yellow"/>
        </w:rPr>
      </w:pPr>
    </w:p>
    <w:p w:rsidR="00C37B43" w:rsidRPr="00860443" w:rsidRDefault="00C37B43">
      <w:pPr>
        <w:widowControl/>
        <w:autoSpaceDE/>
        <w:autoSpaceDN/>
        <w:adjustRightInd/>
        <w:ind w:firstLine="0"/>
        <w:jc w:val="left"/>
        <w:rPr>
          <w:sz w:val="28"/>
          <w:szCs w:val="28"/>
          <w:highlight w:val="yellow"/>
        </w:rPr>
      </w:pPr>
    </w:p>
    <w:p w:rsidR="00C37B43" w:rsidRPr="00860443" w:rsidRDefault="00C37B43">
      <w:pPr>
        <w:widowControl/>
        <w:autoSpaceDE/>
        <w:autoSpaceDN/>
        <w:adjustRightInd/>
        <w:ind w:firstLine="0"/>
        <w:jc w:val="left"/>
        <w:rPr>
          <w:sz w:val="28"/>
          <w:szCs w:val="28"/>
          <w:highlight w:val="yellow"/>
        </w:rPr>
      </w:pPr>
    </w:p>
    <w:p w:rsidR="00C37B43" w:rsidRPr="00860443" w:rsidRDefault="00C37B43">
      <w:pPr>
        <w:widowControl/>
        <w:autoSpaceDE/>
        <w:autoSpaceDN/>
        <w:adjustRightInd/>
        <w:ind w:firstLine="0"/>
        <w:jc w:val="left"/>
        <w:rPr>
          <w:sz w:val="28"/>
          <w:szCs w:val="28"/>
          <w:highlight w:val="yellow"/>
        </w:rPr>
      </w:pPr>
    </w:p>
    <w:p w:rsidR="00C37B43" w:rsidRPr="00860443" w:rsidRDefault="00C37B43">
      <w:pPr>
        <w:widowControl/>
        <w:autoSpaceDE/>
        <w:autoSpaceDN/>
        <w:adjustRightInd/>
        <w:ind w:firstLine="0"/>
        <w:jc w:val="left"/>
        <w:rPr>
          <w:sz w:val="28"/>
          <w:szCs w:val="28"/>
          <w:highlight w:val="yellow"/>
        </w:rPr>
      </w:pPr>
    </w:p>
    <w:p w:rsidR="00C37B43" w:rsidRDefault="00C37B43">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Default="00A51084">
      <w:pPr>
        <w:widowControl/>
        <w:autoSpaceDE/>
        <w:autoSpaceDN/>
        <w:adjustRightInd/>
        <w:ind w:firstLine="0"/>
        <w:jc w:val="left"/>
        <w:rPr>
          <w:sz w:val="28"/>
          <w:szCs w:val="28"/>
          <w:highlight w:val="yellow"/>
          <w:lang w:val="en-US"/>
        </w:rPr>
      </w:pPr>
    </w:p>
    <w:p w:rsidR="00A51084" w:rsidRPr="00A51084" w:rsidRDefault="00A51084">
      <w:pPr>
        <w:widowControl/>
        <w:autoSpaceDE/>
        <w:autoSpaceDN/>
        <w:adjustRightInd/>
        <w:ind w:firstLine="0"/>
        <w:jc w:val="left"/>
        <w:rPr>
          <w:sz w:val="28"/>
          <w:szCs w:val="28"/>
          <w:highlight w:val="yellow"/>
          <w:lang w:val="en-US"/>
        </w:rPr>
      </w:pPr>
      <w:bookmarkStart w:id="1" w:name="_GoBack"/>
      <w:bookmarkEnd w:id="1"/>
    </w:p>
    <w:p w:rsidR="00D06CDC" w:rsidRPr="00D06CDC" w:rsidRDefault="00D06CDC">
      <w:pPr>
        <w:widowControl/>
        <w:autoSpaceDE/>
        <w:autoSpaceDN/>
        <w:adjustRightInd/>
        <w:ind w:firstLine="0"/>
        <w:jc w:val="left"/>
        <w:rPr>
          <w:sz w:val="28"/>
          <w:szCs w:val="28"/>
          <w:lang w:val="kk-KZ"/>
        </w:rPr>
      </w:pPr>
    </w:p>
    <w:p w:rsidR="00293FB0" w:rsidRPr="00D06CDC" w:rsidRDefault="00293FB0">
      <w:pPr>
        <w:widowControl/>
        <w:autoSpaceDE/>
        <w:autoSpaceDN/>
        <w:adjustRightInd/>
        <w:ind w:firstLine="0"/>
        <w:jc w:val="left"/>
        <w:rPr>
          <w:sz w:val="28"/>
          <w:szCs w:val="28"/>
          <w:lang w:val="kk-KZ"/>
        </w:rPr>
      </w:pPr>
    </w:p>
    <w:p w:rsidR="00293FB0" w:rsidRPr="00D06CDC" w:rsidRDefault="00293FB0">
      <w:pPr>
        <w:widowControl/>
        <w:autoSpaceDE/>
        <w:autoSpaceDN/>
        <w:adjustRightInd/>
        <w:ind w:firstLine="0"/>
        <w:jc w:val="left"/>
        <w:rPr>
          <w:sz w:val="28"/>
          <w:szCs w:val="28"/>
        </w:rPr>
      </w:pPr>
    </w:p>
    <w:p w:rsidR="00293FB0" w:rsidRPr="00D06CDC" w:rsidRDefault="00293FB0">
      <w:pPr>
        <w:widowControl/>
        <w:autoSpaceDE/>
        <w:autoSpaceDN/>
        <w:adjustRightInd/>
        <w:ind w:firstLine="0"/>
        <w:jc w:val="left"/>
        <w:rPr>
          <w:sz w:val="28"/>
          <w:szCs w:val="28"/>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2F2E07" w:rsidRPr="00D06CDC" w:rsidTr="00DA4C34">
        <w:tc>
          <w:tcPr>
            <w:tcW w:w="9570" w:type="dxa"/>
            <w:shd w:val="clear" w:color="auto" w:fill="auto"/>
          </w:tcPr>
          <w:p w:rsidR="006E6C43" w:rsidRPr="00D06CDC" w:rsidRDefault="006E6C43" w:rsidP="001732C8">
            <w:pPr>
              <w:ind w:firstLine="567"/>
              <w:jc w:val="right"/>
              <w:rPr>
                <w:b/>
                <w:spacing w:val="1"/>
                <w:sz w:val="24"/>
                <w:szCs w:val="24"/>
              </w:rPr>
            </w:pPr>
          </w:p>
          <w:p w:rsidR="00D969D8" w:rsidRPr="00D06CDC" w:rsidRDefault="00D969D8" w:rsidP="001732C8">
            <w:pPr>
              <w:ind w:firstLine="567"/>
              <w:jc w:val="right"/>
              <w:rPr>
                <w:sz w:val="24"/>
                <w:szCs w:val="24"/>
              </w:rPr>
            </w:pPr>
            <w:r w:rsidRPr="00D06CDC">
              <w:rPr>
                <w:b/>
                <w:spacing w:val="1"/>
                <w:sz w:val="24"/>
                <w:szCs w:val="24"/>
              </w:rPr>
              <w:t>МКС</w:t>
            </w:r>
            <w:r w:rsidR="000335FE" w:rsidRPr="00D06CDC">
              <w:rPr>
                <w:b/>
                <w:sz w:val="24"/>
                <w:szCs w:val="24"/>
              </w:rPr>
              <w:t xml:space="preserve"> </w:t>
            </w:r>
            <w:r w:rsidR="006E6C43" w:rsidRPr="00D06CDC">
              <w:rPr>
                <w:b/>
                <w:sz w:val="24"/>
                <w:szCs w:val="24"/>
                <w:lang w:val="kk-KZ"/>
              </w:rPr>
              <w:t>11.040.40</w:t>
            </w:r>
            <w:r w:rsidR="003445F4" w:rsidRPr="00D06CDC">
              <w:rPr>
                <w:b/>
                <w:sz w:val="24"/>
                <w:szCs w:val="24"/>
                <w:lang w:val="kk-KZ"/>
              </w:rPr>
              <w:t xml:space="preserve">         </w:t>
            </w:r>
            <w:r w:rsidR="000335FE" w:rsidRPr="00D06CDC">
              <w:rPr>
                <w:b/>
                <w:sz w:val="24"/>
                <w:szCs w:val="24"/>
              </w:rPr>
              <w:t>IDT</w:t>
            </w:r>
          </w:p>
          <w:p w:rsidR="00D969D8" w:rsidRPr="00D06CDC" w:rsidRDefault="00D969D8" w:rsidP="00D969D8">
            <w:pPr>
              <w:shd w:val="clear" w:color="auto" w:fill="FFFFFF"/>
              <w:ind w:firstLine="567"/>
              <w:rPr>
                <w:b/>
                <w:spacing w:val="1"/>
                <w:sz w:val="24"/>
                <w:szCs w:val="24"/>
              </w:rPr>
            </w:pPr>
          </w:p>
          <w:p w:rsidR="00E758BC" w:rsidRPr="00E758BC" w:rsidRDefault="00D969D8" w:rsidP="00E758BC">
            <w:pPr>
              <w:shd w:val="clear" w:color="auto" w:fill="FFFFFF"/>
              <w:ind w:firstLine="567"/>
              <w:rPr>
                <w:spacing w:val="1"/>
                <w:sz w:val="24"/>
                <w:szCs w:val="24"/>
                <w:lang w:val="kk-KZ"/>
              </w:rPr>
            </w:pPr>
            <w:r w:rsidRPr="00D06CDC">
              <w:rPr>
                <w:b/>
                <w:spacing w:val="1"/>
                <w:sz w:val="24"/>
                <w:szCs w:val="24"/>
              </w:rPr>
              <w:t>Ключевые слова:</w:t>
            </w:r>
            <w:r w:rsidRPr="00D06CDC">
              <w:rPr>
                <w:spacing w:val="1"/>
                <w:sz w:val="24"/>
                <w:szCs w:val="24"/>
              </w:rPr>
              <w:t xml:space="preserve"> </w:t>
            </w:r>
            <w:r w:rsidR="006E6C43" w:rsidRPr="00D06CDC">
              <w:rPr>
                <w:spacing w:val="1"/>
                <w:sz w:val="24"/>
                <w:szCs w:val="24"/>
                <w:lang w:val="kk-KZ"/>
              </w:rPr>
              <w:t>жидкости для гемодиализа, терапия, менеджмент качества, качество жидкости</w:t>
            </w:r>
            <w:r w:rsidR="00D06CDC" w:rsidRPr="00D06CDC">
              <w:rPr>
                <w:spacing w:val="1"/>
                <w:sz w:val="24"/>
                <w:szCs w:val="24"/>
                <w:lang w:val="kk-KZ"/>
              </w:rPr>
              <w:t>, оборудования для подготовки жидкости</w:t>
            </w:r>
            <w:r w:rsidR="00E758BC">
              <w:rPr>
                <w:spacing w:val="1"/>
                <w:sz w:val="24"/>
                <w:szCs w:val="24"/>
                <w:lang w:val="kk-KZ"/>
              </w:rPr>
              <w:t>, общие требования</w:t>
            </w:r>
          </w:p>
          <w:p w:rsidR="003445F4" w:rsidRPr="00D06CDC" w:rsidRDefault="003445F4" w:rsidP="00C37B43">
            <w:pPr>
              <w:shd w:val="clear" w:color="auto" w:fill="FFFFFF"/>
              <w:ind w:firstLine="567"/>
              <w:rPr>
                <w:spacing w:val="1"/>
                <w:sz w:val="24"/>
                <w:szCs w:val="24"/>
              </w:rPr>
            </w:pPr>
          </w:p>
        </w:tc>
      </w:tr>
      <w:tr w:rsidR="00FD0D38" w:rsidRPr="00D06CDC" w:rsidTr="005E5B05">
        <w:tc>
          <w:tcPr>
            <w:tcW w:w="9570" w:type="dxa"/>
            <w:shd w:val="clear" w:color="auto" w:fill="auto"/>
          </w:tcPr>
          <w:p w:rsidR="006E6C43" w:rsidRPr="00D06CDC" w:rsidRDefault="002F2E07" w:rsidP="003445F4">
            <w:pPr>
              <w:ind w:firstLine="567"/>
              <w:jc w:val="right"/>
              <w:rPr>
                <w:b/>
                <w:sz w:val="24"/>
                <w:szCs w:val="24"/>
              </w:rPr>
            </w:pPr>
            <w:r w:rsidRPr="00D06CDC">
              <w:rPr>
                <w:b/>
                <w:sz w:val="24"/>
                <w:szCs w:val="24"/>
              </w:rPr>
              <w:lastRenderedPageBreak/>
              <w:br w:type="page"/>
            </w:r>
          </w:p>
          <w:p w:rsidR="003445F4" w:rsidRPr="00D06CDC" w:rsidRDefault="003445F4" w:rsidP="003445F4">
            <w:pPr>
              <w:ind w:firstLine="567"/>
              <w:jc w:val="right"/>
              <w:rPr>
                <w:sz w:val="24"/>
                <w:szCs w:val="24"/>
              </w:rPr>
            </w:pPr>
            <w:r w:rsidRPr="00D06CDC">
              <w:rPr>
                <w:b/>
                <w:spacing w:val="1"/>
                <w:sz w:val="24"/>
                <w:szCs w:val="24"/>
              </w:rPr>
              <w:t>МКС</w:t>
            </w:r>
            <w:r w:rsidRPr="00D06CDC">
              <w:rPr>
                <w:b/>
                <w:sz w:val="24"/>
                <w:szCs w:val="24"/>
              </w:rPr>
              <w:t xml:space="preserve"> </w:t>
            </w:r>
            <w:r w:rsidR="006E6C43" w:rsidRPr="00D06CDC">
              <w:rPr>
                <w:b/>
                <w:sz w:val="24"/>
                <w:szCs w:val="24"/>
                <w:lang w:val="kk-KZ"/>
              </w:rPr>
              <w:t>11.040.40</w:t>
            </w:r>
            <w:r w:rsidRPr="00D06CDC">
              <w:rPr>
                <w:b/>
                <w:sz w:val="24"/>
                <w:szCs w:val="24"/>
                <w:lang w:val="kk-KZ"/>
              </w:rPr>
              <w:t xml:space="preserve">         </w:t>
            </w:r>
            <w:r w:rsidRPr="00D06CDC">
              <w:rPr>
                <w:b/>
                <w:sz w:val="24"/>
                <w:szCs w:val="24"/>
              </w:rPr>
              <w:t>IDT</w:t>
            </w:r>
          </w:p>
          <w:p w:rsidR="000A68F1" w:rsidRPr="00D06CDC" w:rsidRDefault="000A68F1" w:rsidP="000A68F1">
            <w:pPr>
              <w:shd w:val="clear" w:color="auto" w:fill="FFFFFF"/>
              <w:ind w:firstLine="567"/>
              <w:rPr>
                <w:b/>
                <w:spacing w:val="1"/>
                <w:sz w:val="24"/>
                <w:szCs w:val="24"/>
              </w:rPr>
            </w:pPr>
          </w:p>
          <w:p w:rsidR="00C37B43" w:rsidRPr="00D06CDC" w:rsidRDefault="00C37B43" w:rsidP="00C37B43">
            <w:pPr>
              <w:shd w:val="clear" w:color="auto" w:fill="FFFFFF"/>
              <w:ind w:firstLine="567"/>
              <w:rPr>
                <w:sz w:val="24"/>
                <w:szCs w:val="24"/>
              </w:rPr>
            </w:pPr>
            <w:r w:rsidRPr="00D06CDC">
              <w:rPr>
                <w:b/>
                <w:spacing w:val="1"/>
                <w:sz w:val="24"/>
                <w:szCs w:val="24"/>
              </w:rPr>
              <w:t>Ключевые слова:</w:t>
            </w:r>
            <w:r w:rsidRPr="00D06CDC">
              <w:rPr>
                <w:spacing w:val="1"/>
                <w:sz w:val="24"/>
                <w:szCs w:val="24"/>
              </w:rPr>
              <w:t xml:space="preserve"> </w:t>
            </w:r>
            <w:r w:rsidR="00E758BC" w:rsidRPr="00E758BC">
              <w:rPr>
                <w:spacing w:val="1"/>
                <w:sz w:val="24"/>
                <w:szCs w:val="24"/>
                <w:lang w:val="kk-KZ"/>
              </w:rPr>
              <w:t>жидкости для гемодиализа, терапия, менеджмент качества, качество жидкости, оборудования для подготовки жидкости, общие требования</w:t>
            </w:r>
          </w:p>
          <w:p w:rsidR="003445F4" w:rsidRPr="00D06CDC" w:rsidRDefault="003445F4" w:rsidP="00C37B43">
            <w:pPr>
              <w:shd w:val="clear" w:color="auto" w:fill="FFFFFF"/>
              <w:ind w:firstLine="567"/>
              <w:rPr>
                <w:sz w:val="24"/>
                <w:szCs w:val="24"/>
              </w:rPr>
            </w:pPr>
          </w:p>
        </w:tc>
      </w:tr>
    </w:tbl>
    <w:p w:rsidR="006A25EF" w:rsidRPr="00D06CDC" w:rsidRDefault="006A25EF" w:rsidP="00342003">
      <w:pPr>
        <w:suppressAutoHyphens/>
        <w:ind w:firstLine="567"/>
        <w:rPr>
          <w:sz w:val="28"/>
          <w:szCs w:val="28"/>
          <w:lang w:val="kk-KZ"/>
        </w:rPr>
      </w:pPr>
    </w:p>
    <w:p w:rsidR="006E6C43" w:rsidRPr="00D06CDC" w:rsidRDefault="006E6C43" w:rsidP="006E6C43">
      <w:pPr>
        <w:ind w:firstLine="709"/>
        <w:rPr>
          <w:bCs/>
          <w:sz w:val="24"/>
          <w:szCs w:val="24"/>
          <w:lang w:bidi="ru-RU"/>
        </w:rPr>
      </w:pPr>
      <w:r w:rsidRPr="00D06CDC">
        <w:rPr>
          <w:bCs/>
          <w:sz w:val="24"/>
          <w:szCs w:val="24"/>
          <w:lang w:bidi="ru-RU"/>
        </w:rPr>
        <w:t xml:space="preserve">РАЗРАБОТЧИК: </w:t>
      </w:r>
    </w:p>
    <w:p w:rsidR="006E6C43" w:rsidRPr="00D06CDC" w:rsidRDefault="006E6C43" w:rsidP="006E6C43">
      <w:pPr>
        <w:ind w:firstLine="709"/>
        <w:rPr>
          <w:b/>
          <w:bCs/>
          <w:sz w:val="24"/>
          <w:szCs w:val="24"/>
          <w:lang w:bidi="ru-RU"/>
        </w:rPr>
      </w:pPr>
      <w:r w:rsidRPr="00D06CDC">
        <w:rPr>
          <w:b/>
          <w:bCs/>
          <w:sz w:val="24"/>
          <w:szCs w:val="24"/>
          <w:lang w:bidi="ru-RU"/>
        </w:rPr>
        <w:t>Объединение юридических лиц «Республиканская ассоциация горнодобывающих и горно-металлургических предприятий»</w:t>
      </w:r>
    </w:p>
    <w:p w:rsidR="006E6C43" w:rsidRPr="00D06CDC" w:rsidRDefault="006E6C43" w:rsidP="006E6C43">
      <w:pPr>
        <w:ind w:firstLine="709"/>
        <w:rPr>
          <w:b/>
          <w:bCs/>
          <w:sz w:val="24"/>
          <w:szCs w:val="24"/>
          <w:lang w:bidi="ru-RU"/>
        </w:rPr>
      </w:pPr>
    </w:p>
    <w:p w:rsidR="006E6C43" w:rsidRPr="00D06CDC" w:rsidRDefault="006E6C43" w:rsidP="006E6C43">
      <w:pPr>
        <w:ind w:firstLine="709"/>
        <w:rPr>
          <w:b/>
          <w:bCs/>
          <w:sz w:val="24"/>
          <w:szCs w:val="24"/>
          <w:lang w:bidi="ru-RU"/>
        </w:rPr>
      </w:pPr>
    </w:p>
    <w:p w:rsidR="006E6C43" w:rsidRPr="00D06CDC" w:rsidRDefault="006E6C43" w:rsidP="006E6C43">
      <w:pPr>
        <w:ind w:firstLine="709"/>
        <w:rPr>
          <w:b/>
          <w:bCs/>
          <w:sz w:val="24"/>
          <w:szCs w:val="24"/>
          <w:lang w:val="kk-KZ" w:bidi="ru-RU"/>
        </w:rPr>
      </w:pPr>
      <w:r w:rsidRPr="00D06CDC">
        <w:rPr>
          <w:b/>
          <w:bCs/>
          <w:sz w:val="24"/>
          <w:szCs w:val="24"/>
          <w:lang w:bidi="ru-RU"/>
        </w:rPr>
        <w:t>Исполнительный директор</w:t>
      </w:r>
      <w:r w:rsidRPr="00D06CDC">
        <w:rPr>
          <w:b/>
          <w:bCs/>
          <w:sz w:val="24"/>
          <w:szCs w:val="24"/>
          <w:lang w:bidi="ru-RU"/>
        </w:rPr>
        <w:tab/>
      </w:r>
      <w:r w:rsidRPr="00D06CDC">
        <w:rPr>
          <w:b/>
          <w:bCs/>
          <w:sz w:val="24"/>
          <w:szCs w:val="24"/>
          <w:lang w:bidi="ru-RU"/>
        </w:rPr>
        <w:tab/>
      </w:r>
      <w:r w:rsidRPr="00D06CDC">
        <w:rPr>
          <w:b/>
          <w:bCs/>
          <w:sz w:val="24"/>
          <w:szCs w:val="24"/>
          <w:lang w:bidi="ru-RU"/>
        </w:rPr>
        <w:tab/>
      </w:r>
      <w:r w:rsidRPr="00D06CDC">
        <w:rPr>
          <w:b/>
          <w:bCs/>
          <w:sz w:val="24"/>
          <w:szCs w:val="24"/>
          <w:lang w:bidi="ru-RU"/>
        </w:rPr>
        <w:tab/>
      </w:r>
      <w:r w:rsidRPr="00D06CDC">
        <w:rPr>
          <w:b/>
          <w:bCs/>
          <w:sz w:val="24"/>
          <w:szCs w:val="24"/>
          <w:lang w:bidi="ru-RU"/>
        </w:rPr>
        <w:tab/>
        <w:t xml:space="preserve">        Радостовец В.Н.</w:t>
      </w:r>
    </w:p>
    <w:p w:rsidR="006E6C43" w:rsidRDefault="006E6C43" w:rsidP="006E6C43">
      <w:pPr>
        <w:ind w:firstLine="709"/>
        <w:rPr>
          <w:b/>
          <w:bCs/>
          <w:sz w:val="24"/>
          <w:szCs w:val="24"/>
          <w:lang w:val="kk-KZ" w:bidi="ru-RU"/>
        </w:rPr>
      </w:pPr>
    </w:p>
    <w:p w:rsidR="00E758BC" w:rsidRPr="00D06CDC" w:rsidRDefault="00E758BC" w:rsidP="006E6C43">
      <w:pPr>
        <w:ind w:firstLine="709"/>
        <w:rPr>
          <w:b/>
          <w:bCs/>
          <w:sz w:val="24"/>
          <w:szCs w:val="24"/>
          <w:lang w:val="kk-KZ" w:bidi="ru-RU"/>
        </w:rPr>
      </w:pPr>
    </w:p>
    <w:p w:rsidR="006E6C43" w:rsidRPr="00D06CDC" w:rsidRDefault="006E6C43" w:rsidP="006E6C43">
      <w:pPr>
        <w:ind w:firstLine="709"/>
        <w:rPr>
          <w:b/>
          <w:bCs/>
          <w:sz w:val="24"/>
          <w:szCs w:val="24"/>
          <w:lang w:val="kk-KZ" w:bidi="ru-RU"/>
        </w:rPr>
      </w:pPr>
      <w:r w:rsidRPr="00D06CDC">
        <w:rPr>
          <w:b/>
          <w:bCs/>
          <w:sz w:val="24"/>
          <w:szCs w:val="24"/>
          <w:lang w:val="kk-KZ" w:bidi="ru-RU"/>
        </w:rPr>
        <w:t xml:space="preserve">Директор Департамента технического </w:t>
      </w:r>
    </w:p>
    <w:p w:rsidR="006E6C43" w:rsidRPr="006E6C43" w:rsidRDefault="006E6C43" w:rsidP="006E6C43">
      <w:pPr>
        <w:ind w:firstLine="709"/>
        <w:rPr>
          <w:b/>
          <w:bCs/>
          <w:sz w:val="24"/>
          <w:szCs w:val="24"/>
          <w:lang w:val="kk-KZ" w:bidi="ru-RU"/>
        </w:rPr>
      </w:pPr>
      <w:r w:rsidRPr="00D06CDC">
        <w:rPr>
          <w:b/>
          <w:bCs/>
          <w:sz w:val="24"/>
          <w:szCs w:val="24"/>
          <w:lang w:val="kk-KZ" w:bidi="ru-RU"/>
        </w:rPr>
        <w:t>регулирования и метрологии</w:t>
      </w:r>
      <w:r w:rsidRPr="00D06CDC">
        <w:rPr>
          <w:b/>
          <w:bCs/>
          <w:sz w:val="24"/>
          <w:szCs w:val="24"/>
          <w:lang w:val="kk-KZ" w:bidi="ru-RU"/>
        </w:rPr>
        <w:tab/>
      </w:r>
      <w:r w:rsidRPr="00D06CDC">
        <w:rPr>
          <w:b/>
          <w:bCs/>
          <w:sz w:val="24"/>
          <w:szCs w:val="24"/>
          <w:lang w:val="kk-KZ" w:bidi="ru-RU"/>
        </w:rPr>
        <w:tab/>
      </w:r>
      <w:r w:rsidRPr="00D06CDC">
        <w:rPr>
          <w:b/>
          <w:bCs/>
          <w:sz w:val="24"/>
          <w:szCs w:val="24"/>
          <w:lang w:val="kk-KZ" w:bidi="ru-RU"/>
        </w:rPr>
        <w:tab/>
      </w:r>
      <w:r w:rsidRPr="00D06CDC">
        <w:rPr>
          <w:b/>
          <w:bCs/>
          <w:sz w:val="24"/>
          <w:szCs w:val="24"/>
          <w:lang w:val="kk-KZ" w:bidi="ru-RU"/>
        </w:rPr>
        <w:tab/>
      </w:r>
      <w:r w:rsidRPr="00D06CDC">
        <w:rPr>
          <w:b/>
          <w:bCs/>
          <w:sz w:val="24"/>
          <w:szCs w:val="24"/>
          <w:lang w:val="kk-KZ" w:bidi="ru-RU"/>
        </w:rPr>
        <w:tab/>
        <w:t xml:space="preserve">        Калдарбек А.А.</w:t>
      </w:r>
    </w:p>
    <w:p w:rsidR="003445F4" w:rsidRPr="006E6C43" w:rsidRDefault="003445F4" w:rsidP="006E6C43">
      <w:pPr>
        <w:suppressAutoHyphens/>
        <w:ind w:firstLine="567"/>
        <w:rPr>
          <w:b/>
          <w:szCs w:val="24"/>
          <w:lang w:val="kk-KZ"/>
        </w:rPr>
      </w:pPr>
    </w:p>
    <w:sectPr w:rsidR="003445F4" w:rsidRPr="006E6C43" w:rsidSect="00D73213">
      <w:pgSz w:w="11906" w:h="16838" w:code="9"/>
      <w:pgMar w:top="1418" w:right="1418" w:bottom="1418" w:left="1134" w:header="1021" w:footer="1021" w:gutter="0"/>
      <w:pgNumType w:start="1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259D" w:rsidRDefault="00F6259D">
      <w:r>
        <w:separator/>
      </w:r>
    </w:p>
  </w:endnote>
  <w:endnote w:type="continuationSeparator" w:id="0">
    <w:p w:rsidR="00F6259D" w:rsidRDefault="00F625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Pr="00F528CE" w:rsidRDefault="00E758BC" w:rsidP="00D73213">
    <w:pPr>
      <w:pStyle w:val="a3"/>
      <w:ind w:firstLine="0"/>
      <w:rPr>
        <w:sz w:val="24"/>
        <w:szCs w:val="24"/>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sidR="00A51084">
      <w:rPr>
        <w:rStyle w:val="a5"/>
        <w:noProof/>
        <w:sz w:val="24"/>
        <w:szCs w:val="24"/>
      </w:rPr>
      <w:t>110</w:t>
    </w:r>
    <w:r w:rsidRPr="00F528CE">
      <w:rPr>
        <w:rStyle w:val="a5"/>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Pr="00F528CE" w:rsidRDefault="00E758BC" w:rsidP="00EB03F1">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sidR="00A51084">
      <w:rPr>
        <w:rStyle w:val="a5"/>
        <w:noProof/>
        <w:sz w:val="24"/>
        <w:szCs w:val="24"/>
      </w:rPr>
      <w:t>111</w:t>
    </w:r>
    <w:r w:rsidRPr="00F528CE">
      <w:rPr>
        <w:rStyle w:val="a5"/>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Pr="004C04E4" w:rsidRDefault="00E758BC" w:rsidP="00984A7D">
    <w:pPr>
      <w:pStyle w:val="a3"/>
      <w:pBdr>
        <w:top w:val="single" w:sz="12" w:space="1" w:color="auto"/>
      </w:pBdr>
      <w:ind w:firstLine="567"/>
      <w:rPr>
        <w:rStyle w:val="a5"/>
        <w:sz w:val="24"/>
        <w:szCs w:val="24"/>
      </w:rPr>
    </w:pPr>
    <w:r>
      <w:rPr>
        <w:b/>
        <w:sz w:val="24"/>
        <w:szCs w:val="24"/>
      </w:rPr>
      <w:t>Издание официальное</w:t>
    </w:r>
  </w:p>
  <w:p w:rsidR="00E758BC" w:rsidRPr="00F74D03" w:rsidRDefault="00E758BC"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259D" w:rsidRDefault="00F6259D">
      <w:r>
        <w:separator/>
      </w:r>
    </w:p>
  </w:footnote>
  <w:footnote w:type="continuationSeparator" w:id="0">
    <w:p w:rsidR="00F6259D" w:rsidRDefault="00F625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Pr="004B7F4C" w:rsidRDefault="00E758BC" w:rsidP="004F2FFE">
    <w:pPr>
      <w:ind w:firstLine="0"/>
      <w:rPr>
        <w:b/>
        <w:sz w:val="24"/>
        <w:szCs w:val="24"/>
        <w:lang w:val="kk-KZ"/>
      </w:rPr>
    </w:pPr>
    <w:proofErr w:type="gramStart"/>
    <w:r w:rsidRPr="00293FB0">
      <w:rPr>
        <w:b/>
        <w:sz w:val="24"/>
        <w:szCs w:val="24"/>
      </w:rPr>
      <w:t>СТ</w:t>
    </w:r>
    <w:proofErr w:type="gramEnd"/>
    <w:r w:rsidRPr="00293FB0">
      <w:rPr>
        <w:b/>
        <w:sz w:val="24"/>
        <w:szCs w:val="24"/>
      </w:rPr>
      <w:t xml:space="preserve"> РК</w:t>
    </w:r>
    <w:r w:rsidRPr="00293FB0">
      <w:rPr>
        <w:b/>
        <w:sz w:val="24"/>
        <w:szCs w:val="24"/>
        <w:lang w:val="kk-KZ"/>
      </w:rPr>
      <w:t xml:space="preserve"> </w:t>
    </w:r>
    <w:r w:rsidRPr="00293FB0">
      <w:rPr>
        <w:b/>
        <w:sz w:val="24"/>
        <w:szCs w:val="24"/>
        <w:lang w:val="en-US"/>
      </w:rPr>
      <w:t>ISO</w:t>
    </w:r>
    <w:r>
      <w:rPr>
        <w:b/>
        <w:sz w:val="24"/>
        <w:szCs w:val="24"/>
      </w:rPr>
      <w:t xml:space="preserve"> 23500-</w:t>
    </w:r>
    <w:r>
      <w:rPr>
        <w:b/>
        <w:sz w:val="24"/>
        <w:szCs w:val="24"/>
        <w:lang w:val="kk-KZ"/>
      </w:rPr>
      <w:t>1</w:t>
    </w:r>
  </w:p>
  <w:p w:rsidR="00E758BC" w:rsidRPr="00293FB0" w:rsidRDefault="00E758BC" w:rsidP="000635E0">
    <w:pPr>
      <w:ind w:firstLine="0"/>
      <w:rPr>
        <w:i/>
        <w:sz w:val="24"/>
        <w:szCs w:val="24"/>
      </w:rPr>
    </w:pPr>
    <w:r w:rsidRPr="00293FB0">
      <w:rPr>
        <w:i/>
        <w:sz w:val="24"/>
        <w:szCs w:val="24"/>
      </w:rPr>
      <w:t>(проект,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Pr="004B7F4C" w:rsidRDefault="00E758BC" w:rsidP="00ED5E26">
    <w:pPr>
      <w:tabs>
        <w:tab w:val="left" w:pos="4962"/>
        <w:tab w:val="left" w:pos="5812"/>
        <w:tab w:val="left" w:pos="6379"/>
        <w:tab w:val="left" w:pos="6663"/>
        <w:tab w:val="left" w:pos="6946"/>
        <w:tab w:val="left" w:pos="7230"/>
      </w:tabs>
      <w:ind w:left="4962" w:firstLine="0"/>
      <w:jc w:val="right"/>
      <w:rPr>
        <w:b/>
        <w:sz w:val="24"/>
        <w:szCs w:val="24"/>
        <w:lang w:val="kk-KZ"/>
      </w:rPr>
    </w:pPr>
    <w:proofErr w:type="gramStart"/>
    <w:r w:rsidRPr="00293FB0">
      <w:rPr>
        <w:b/>
        <w:sz w:val="24"/>
        <w:szCs w:val="24"/>
      </w:rPr>
      <w:t>СТ</w:t>
    </w:r>
    <w:proofErr w:type="gramEnd"/>
    <w:r w:rsidRPr="00293FB0">
      <w:rPr>
        <w:b/>
        <w:sz w:val="24"/>
        <w:szCs w:val="24"/>
      </w:rPr>
      <w:t xml:space="preserve"> РК </w:t>
    </w:r>
    <w:r w:rsidRPr="00293FB0">
      <w:rPr>
        <w:b/>
        <w:bCs/>
        <w:sz w:val="24"/>
        <w:szCs w:val="24"/>
        <w:lang w:val="en-US"/>
      </w:rPr>
      <w:t>ISO</w:t>
    </w:r>
    <w:r>
      <w:rPr>
        <w:b/>
        <w:bCs/>
        <w:sz w:val="24"/>
        <w:szCs w:val="24"/>
        <w:lang w:val="en-US"/>
      </w:rPr>
      <w:t xml:space="preserve"> </w:t>
    </w:r>
    <w:r>
      <w:rPr>
        <w:b/>
        <w:bCs/>
        <w:sz w:val="24"/>
        <w:szCs w:val="24"/>
      </w:rPr>
      <w:t>23500-</w:t>
    </w:r>
    <w:r>
      <w:rPr>
        <w:b/>
        <w:bCs/>
        <w:sz w:val="24"/>
        <w:szCs w:val="24"/>
        <w:lang w:val="kk-KZ"/>
      </w:rPr>
      <w:t>1</w:t>
    </w:r>
  </w:p>
  <w:p w:rsidR="00E758BC" w:rsidRPr="00293FB0" w:rsidRDefault="00E758BC" w:rsidP="00043785">
    <w:pPr>
      <w:tabs>
        <w:tab w:val="left" w:pos="4962"/>
        <w:tab w:val="left" w:pos="5812"/>
        <w:tab w:val="left" w:pos="6379"/>
        <w:tab w:val="left" w:pos="6663"/>
        <w:tab w:val="left" w:pos="6946"/>
        <w:tab w:val="left" w:pos="7230"/>
      </w:tabs>
      <w:ind w:left="4962" w:firstLine="0"/>
      <w:jc w:val="right"/>
      <w:rPr>
        <w:sz w:val="24"/>
        <w:szCs w:val="24"/>
      </w:rPr>
    </w:pPr>
    <w:r w:rsidRPr="00293FB0">
      <w:rPr>
        <w:i/>
        <w:sz w:val="24"/>
        <w:szCs w:val="24"/>
      </w:rPr>
      <w:t>(проект, редакция 1)</w:t>
    </w:r>
    <w:r w:rsidRPr="00293FB0">
      <w:rPr>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Pr="006B5AD6" w:rsidRDefault="00E758BC" w:rsidP="00984A7D">
    <w:pPr>
      <w:pStyle w:val="a6"/>
      <w:tabs>
        <w:tab w:val="clear" w:pos="4677"/>
        <w:tab w:val="clear" w:pos="9355"/>
        <w:tab w:val="left" w:pos="6900"/>
        <w:tab w:val="left" w:pos="8400"/>
      </w:tabs>
      <w:rPr>
        <w:sz w:val="24"/>
        <w:szCs w:val="24"/>
      </w:rPr>
    </w:pPr>
    <w:r>
      <w:tab/>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8BC" w:rsidRDefault="00E758BC" w:rsidP="00984A7D">
    <w:pPr>
      <w:pStyle w:val="a6"/>
      <w:tabs>
        <w:tab w:val="clear" w:pos="4677"/>
        <w:tab w:val="clear" w:pos="9355"/>
        <w:tab w:val="left" w:pos="6900"/>
      </w:tabs>
      <w:rPr>
        <w:b/>
        <w:color w:val="000000"/>
        <w:sz w:val="24"/>
        <w:szCs w:val="24"/>
      </w:rPr>
    </w:pPr>
    <w:r>
      <w:rPr>
        <w:b/>
        <w:sz w:val="24"/>
        <w:szCs w:val="24"/>
      </w:rPr>
      <w:tab/>
    </w:r>
    <w:proofErr w:type="gramStart"/>
    <w:r w:rsidRPr="00541FC8">
      <w:rPr>
        <w:b/>
        <w:sz w:val="24"/>
        <w:szCs w:val="24"/>
      </w:rPr>
      <w:t>СТ</w:t>
    </w:r>
    <w:proofErr w:type="gramEnd"/>
    <w:r w:rsidRPr="00541FC8">
      <w:rPr>
        <w:b/>
        <w:sz w:val="24"/>
        <w:szCs w:val="24"/>
      </w:rPr>
      <w:t xml:space="preserve"> РК ИСО</w:t>
    </w:r>
    <w:r>
      <w:rPr>
        <w:b/>
        <w:sz w:val="24"/>
        <w:szCs w:val="24"/>
      </w:rPr>
      <w:t xml:space="preserve"> </w:t>
    </w:r>
  </w:p>
  <w:p w:rsidR="00E758BC" w:rsidRDefault="00E758BC"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BEF7451"/>
    <w:multiLevelType w:val="hybridMultilevel"/>
    <w:tmpl w:val="10A4D76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FBF5621"/>
    <w:multiLevelType w:val="hybridMultilevel"/>
    <w:tmpl w:val="F5C660FC"/>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FE755CD"/>
    <w:multiLevelType w:val="hybridMultilevel"/>
    <w:tmpl w:val="C1A454D8"/>
    <w:lvl w:ilvl="0" w:tplc="3CD65038">
      <w:start w:val="1"/>
      <w:numFmt w:val="lowerLetter"/>
      <w:lvlText w:val="%1"/>
      <w:lvlJc w:val="left"/>
      <w:pPr>
        <w:ind w:left="45" w:hanging="341"/>
      </w:pPr>
      <w:rPr>
        <w:rFonts w:ascii="Cambria" w:eastAsia="Cambria" w:hAnsi="Cambria" w:cs="Cambria" w:hint="default"/>
        <w:color w:val="231F20"/>
        <w:w w:val="102"/>
        <w:position w:val="4"/>
        <w:sz w:val="14"/>
        <w:szCs w:val="14"/>
        <w:lang w:val="en-US" w:eastAsia="en-US" w:bidi="ar-SA"/>
      </w:rPr>
    </w:lvl>
    <w:lvl w:ilvl="1" w:tplc="FBB60E68">
      <w:numFmt w:val="bullet"/>
      <w:lvlText w:val="•"/>
      <w:lvlJc w:val="left"/>
      <w:pPr>
        <w:ind w:left="715" w:hanging="341"/>
      </w:pPr>
      <w:rPr>
        <w:rFonts w:hint="default"/>
        <w:lang w:val="en-US" w:eastAsia="en-US" w:bidi="ar-SA"/>
      </w:rPr>
    </w:lvl>
    <w:lvl w:ilvl="2" w:tplc="F17846F0">
      <w:numFmt w:val="bullet"/>
      <w:lvlText w:val="•"/>
      <w:lvlJc w:val="left"/>
      <w:pPr>
        <w:ind w:left="1390" w:hanging="341"/>
      </w:pPr>
      <w:rPr>
        <w:rFonts w:hint="default"/>
        <w:lang w:val="en-US" w:eastAsia="en-US" w:bidi="ar-SA"/>
      </w:rPr>
    </w:lvl>
    <w:lvl w:ilvl="3" w:tplc="BCD6E84A">
      <w:numFmt w:val="bullet"/>
      <w:lvlText w:val="•"/>
      <w:lvlJc w:val="left"/>
      <w:pPr>
        <w:ind w:left="2065" w:hanging="341"/>
      </w:pPr>
      <w:rPr>
        <w:rFonts w:hint="default"/>
        <w:lang w:val="en-US" w:eastAsia="en-US" w:bidi="ar-SA"/>
      </w:rPr>
    </w:lvl>
    <w:lvl w:ilvl="4" w:tplc="F7E253E4">
      <w:numFmt w:val="bullet"/>
      <w:lvlText w:val="•"/>
      <w:lvlJc w:val="left"/>
      <w:pPr>
        <w:ind w:left="2740" w:hanging="341"/>
      </w:pPr>
      <w:rPr>
        <w:rFonts w:hint="default"/>
        <w:lang w:val="en-US" w:eastAsia="en-US" w:bidi="ar-SA"/>
      </w:rPr>
    </w:lvl>
    <w:lvl w:ilvl="5" w:tplc="D4E88A8A">
      <w:numFmt w:val="bullet"/>
      <w:lvlText w:val="•"/>
      <w:lvlJc w:val="left"/>
      <w:pPr>
        <w:ind w:left="3415" w:hanging="341"/>
      </w:pPr>
      <w:rPr>
        <w:rFonts w:hint="default"/>
        <w:lang w:val="en-US" w:eastAsia="en-US" w:bidi="ar-SA"/>
      </w:rPr>
    </w:lvl>
    <w:lvl w:ilvl="6" w:tplc="51441C38">
      <w:numFmt w:val="bullet"/>
      <w:lvlText w:val="•"/>
      <w:lvlJc w:val="left"/>
      <w:pPr>
        <w:ind w:left="4090" w:hanging="341"/>
      </w:pPr>
      <w:rPr>
        <w:rFonts w:hint="default"/>
        <w:lang w:val="en-US" w:eastAsia="en-US" w:bidi="ar-SA"/>
      </w:rPr>
    </w:lvl>
    <w:lvl w:ilvl="7" w:tplc="1510740C">
      <w:numFmt w:val="bullet"/>
      <w:lvlText w:val="•"/>
      <w:lvlJc w:val="left"/>
      <w:pPr>
        <w:ind w:left="4765" w:hanging="341"/>
      </w:pPr>
      <w:rPr>
        <w:rFonts w:hint="default"/>
        <w:lang w:val="en-US" w:eastAsia="en-US" w:bidi="ar-SA"/>
      </w:rPr>
    </w:lvl>
    <w:lvl w:ilvl="8" w:tplc="6DF0EF04">
      <w:numFmt w:val="bullet"/>
      <w:lvlText w:val="•"/>
      <w:lvlJc w:val="left"/>
      <w:pPr>
        <w:ind w:left="5440" w:hanging="341"/>
      </w:pPr>
      <w:rPr>
        <w:rFonts w:hint="default"/>
        <w:lang w:val="en-US" w:eastAsia="en-US" w:bidi="ar-SA"/>
      </w:rPr>
    </w:lvl>
  </w:abstractNum>
  <w:abstractNum w:abstractNumId="4">
    <w:nsid w:val="14274923"/>
    <w:multiLevelType w:val="hybridMultilevel"/>
    <w:tmpl w:val="8F4E0D8C"/>
    <w:lvl w:ilvl="0" w:tplc="04190011">
      <w:start w:val="1"/>
      <w:numFmt w:val="decimal"/>
      <w:lvlText w:val="%1)"/>
      <w:lvlJc w:val="left"/>
      <w:pPr>
        <w:ind w:left="720" w:hanging="360"/>
      </w:pPr>
    </w:lvl>
    <w:lvl w:ilvl="1" w:tplc="10DC2F6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94064CB"/>
    <w:multiLevelType w:val="hybridMultilevel"/>
    <w:tmpl w:val="58729D06"/>
    <w:lvl w:ilvl="0" w:tplc="48E014E0">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CDC499E"/>
    <w:multiLevelType w:val="hybridMultilevel"/>
    <w:tmpl w:val="E4CAA4E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22FE2A2C"/>
    <w:multiLevelType w:val="hybridMultilevel"/>
    <w:tmpl w:val="3A2E794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24BB6315"/>
    <w:multiLevelType w:val="hybridMultilevel"/>
    <w:tmpl w:val="BA94651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24FB7BE5"/>
    <w:multiLevelType w:val="hybridMultilevel"/>
    <w:tmpl w:val="8DF8D86A"/>
    <w:lvl w:ilvl="0" w:tplc="C084096A">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10">
    <w:nsid w:val="32FE7429"/>
    <w:multiLevelType w:val="hybridMultilevel"/>
    <w:tmpl w:val="67C43BFE"/>
    <w:lvl w:ilvl="0" w:tplc="FF1CA370">
      <w:numFmt w:val="bullet"/>
      <w:lvlText w:val=""/>
      <w:lvlJc w:val="left"/>
      <w:pPr>
        <w:ind w:left="1080" w:hanging="360"/>
      </w:pPr>
      <w:rPr>
        <w:rFonts w:ascii="Symbol" w:eastAsiaTheme="minorHAnsi" w:hAnsi="Symbol" w:cstheme="minorBidi"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34D47297"/>
    <w:multiLevelType w:val="hybridMultilevel"/>
    <w:tmpl w:val="D596874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CA834AB"/>
    <w:multiLevelType w:val="hybridMultilevel"/>
    <w:tmpl w:val="6608B79A"/>
    <w:lvl w:ilvl="0" w:tplc="6F02148A">
      <w:start w:val="10"/>
      <w:numFmt w:val="russianLower"/>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E21432A"/>
    <w:multiLevelType w:val="hybridMultilevel"/>
    <w:tmpl w:val="82B24B22"/>
    <w:lvl w:ilvl="0" w:tplc="F202DD9E">
      <w:start w:val="1"/>
      <w:numFmt w:val="bullet"/>
      <w:lvlText w:val="-"/>
      <w:lvlJc w:val="left"/>
      <w:pPr>
        <w:ind w:left="927" w:hanging="360"/>
      </w:pPr>
      <w:rPr>
        <w:rFonts w:ascii="Times New Roman" w:eastAsia="SimSu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
    <w:nsid w:val="3E3C3E72"/>
    <w:multiLevelType w:val="hybridMultilevel"/>
    <w:tmpl w:val="C4C8C748"/>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46CB2883"/>
    <w:multiLevelType w:val="hybridMultilevel"/>
    <w:tmpl w:val="EAAEC5A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5A3A3A7E"/>
    <w:multiLevelType w:val="hybridMultilevel"/>
    <w:tmpl w:val="5210ACF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5C421D39"/>
    <w:multiLevelType w:val="hybridMultilevel"/>
    <w:tmpl w:val="7F8E04FA"/>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5CB1426A"/>
    <w:multiLevelType w:val="hybridMultilevel"/>
    <w:tmpl w:val="E626CDD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61444860"/>
    <w:multiLevelType w:val="hybridMultilevel"/>
    <w:tmpl w:val="A6824CFA"/>
    <w:lvl w:ilvl="0" w:tplc="9B407C3E">
      <w:start w:val="1"/>
      <w:numFmt w:val="decimal"/>
      <w:lvlText w:val="1.%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8C81D42"/>
    <w:multiLevelType w:val="hybridMultilevel"/>
    <w:tmpl w:val="F0EAF09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6A7B3522"/>
    <w:multiLevelType w:val="hybridMultilevel"/>
    <w:tmpl w:val="4564947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6E2C5C28"/>
    <w:multiLevelType w:val="hybridMultilevel"/>
    <w:tmpl w:val="229031C4"/>
    <w:lvl w:ilvl="0" w:tplc="8C56440E">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21C7F4E"/>
    <w:multiLevelType w:val="hybridMultilevel"/>
    <w:tmpl w:val="45B23D82"/>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77D56BA5"/>
    <w:multiLevelType w:val="hybridMultilevel"/>
    <w:tmpl w:val="44EEE73E"/>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78F341E3"/>
    <w:multiLevelType w:val="hybridMultilevel"/>
    <w:tmpl w:val="E1003AC2"/>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79877673"/>
    <w:multiLevelType w:val="hybridMultilevel"/>
    <w:tmpl w:val="C3E47BF0"/>
    <w:lvl w:ilvl="0" w:tplc="1144DEE0">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28">
    <w:nsid w:val="7D516113"/>
    <w:multiLevelType w:val="hybridMultilevel"/>
    <w:tmpl w:val="A8AC589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nsid w:val="7E100B04"/>
    <w:multiLevelType w:val="hybridMultilevel"/>
    <w:tmpl w:val="7AF4504C"/>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2"/>
  </w:num>
  <w:num w:numId="2">
    <w:abstractNumId w:val="20"/>
  </w:num>
  <w:num w:numId="3">
    <w:abstractNumId w:val="24"/>
  </w:num>
  <w:num w:numId="4">
    <w:abstractNumId w:val="18"/>
  </w:num>
  <w:num w:numId="5">
    <w:abstractNumId w:val="15"/>
  </w:num>
  <w:num w:numId="6">
    <w:abstractNumId w:val="29"/>
  </w:num>
  <w:num w:numId="7">
    <w:abstractNumId w:val="25"/>
  </w:num>
  <w:num w:numId="8">
    <w:abstractNumId w:val="4"/>
  </w:num>
  <w:num w:numId="9">
    <w:abstractNumId w:val="2"/>
  </w:num>
  <w:num w:numId="10">
    <w:abstractNumId w:val="7"/>
  </w:num>
  <w:num w:numId="11">
    <w:abstractNumId w:val="28"/>
  </w:num>
  <w:num w:numId="12">
    <w:abstractNumId w:val="26"/>
  </w:num>
  <w:num w:numId="13">
    <w:abstractNumId w:val="8"/>
  </w:num>
  <w:num w:numId="14">
    <w:abstractNumId w:val="19"/>
  </w:num>
  <w:num w:numId="15">
    <w:abstractNumId w:val="9"/>
  </w:num>
  <w:num w:numId="16">
    <w:abstractNumId w:val="13"/>
  </w:num>
  <w:num w:numId="17">
    <w:abstractNumId w:val="27"/>
  </w:num>
  <w:num w:numId="18">
    <w:abstractNumId w:val="1"/>
  </w:num>
  <w:num w:numId="19">
    <w:abstractNumId w:val="16"/>
  </w:num>
  <w:num w:numId="20">
    <w:abstractNumId w:val="6"/>
  </w:num>
  <w:num w:numId="21">
    <w:abstractNumId w:val="17"/>
  </w:num>
  <w:num w:numId="22">
    <w:abstractNumId w:val="21"/>
  </w:num>
  <w:num w:numId="23">
    <w:abstractNumId w:val="22"/>
  </w:num>
  <w:num w:numId="24">
    <w:abstractNumId w:val="11"/>
  </w:num>
  <w:num w:numId="25">
    <w:abstractNumId w:val="5"/>
  </w:num>
  <w:num w:numId="26">
    <w:abstractNumId w:val="10"/>
  </w:num>
  <w:num w:numId="27">
    <w:abstractNumId w:val="23"/>
  </w:num>
  <w:num w:numId="28">
    <w:abstractNumId w:val="14"/>
  </w:num>
  <w:num w:numId="29">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SystemFonts/>
  <w:mirrorMargin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EE6"/>
    <w:rsid w:val="00001B66"/>
    <w:rsid w:val="000033CC"/>
    <w:rsid w:val="000155A1"/>
    <w:rsid w:val="00020A5A"/>
    <w:rsid w:val="00026C24"/>
    <w:rsid w:val="00026FB0"/>
    <w:rsid w:val="0003042E"/>
    <w:rsid w:val="00030B24"/>
    <w:rsid w:val="000335FE"/>
    <w:rsid w:val="000403D8"/>
    <w:rsid w:val="00043785"/>
    <w:rsid w:val="0004626C"/>
    <w:rsid w:val="00051E83"/>
    <w:rsid w:val="000521FE"/>
    <w:rsid w:val="000538D8"/>
    <w:rsid w:val="00053DE7"/>
    <w:rsid w:val="0005592E"/>
    <w:rsid w:val="000563DC"/>
    <w:rsid w:val="00060070"/>
    <w:rsid w:val="00061007"/>
    <w:rsid w:val="0006204B"/>
    <w:rsid w:val="000635E0"/>
    <w:rsid w:val="00063FCB"/>
    <w:rsid w:val="000705E5"/>
    <w:rsid w:val="0007182B"/>
    <w:rsid w:val="0007398C"/>
    <w:rsid w:val="00076BA1"/>
    <w:rsid w:val="00080634"/>
    <w:rsid w:val="0009079A"/>
    <w:rsid w:val="0009462D"/>
    <w:rsid w:val="00094F05"/>
    <w:rsid w:val="00095582"/>
    <w:rsid w:val="00095FA9"/>
    <w:rsid w:val="00097ED7"/>
    <w:rsid w:val="000A2170"/>
    <w:rsid w:val="000A3CF0"/>
    <w:rsid w:val="000A68F1"/>
    <w:rsid w:val="000A7071"/>
    <w:rsid w:val="000B3A50"/>
    <w:rsid w:val="000B5408"/>
    <w:rsid w:val="000B66DE"/>
    <w:rsid w:val="000C2855"/>
    <w:rsid w:val="000C3654"/>
    <w:rsid w:val="000C409C"/>
    <w:rsid w:val="000C50C5"/>
    <w:rsid w:val="000C6F27"/>
    <w:rsid w:val="000C6F62"/>
    <w:rsid w:val="000C7099"/>
    <w:rsid w:val="000C7A56"/>
    <w:rsid w:val="000D0A99"/>
    <w:rsid w:val="000D0F91"/>
    <w:rsid w:val="000D1C92"/>
    <w:rsid w:val="000D3272"/>
    <w:rsid w:val="000D3602"/>
    <w:rsid w:val="000D763A"/>
    <w:rsid w:val="000E1DAC"/>
    <w:rsid w:val="000E5219"/>
    <w:rsid w:val="000E58CC"/>
    <w:rsid w:val="000E645D"/>
    <w:rsid w:val="000E6A07"/>
    <w:rsid w:val="000F376F"/>
    <w:rsid w:val="000F5C99"/>
    <w:rsid w:val="00101F88"/>
    <w:rsid w:val="001058B2"/>
    <w:rsid w:val="001137DD"/>
    <w:rsid w:val="00114540"/>
    <w:rsid w:val="001149C6"/>
    <w:rsid w:val="00122028"/>
    <w:rsid w:val="00124804"/>
    <w:rsid w:val="00125385"/>
    <w:rsid w:val="0012589E"/>
    <w:rsid w:val="00126C0B"/>
    <w:rsid w:val="001316C6"/>
    <w:rsid w:val="00131AAD"/>
    <w:rsid w:val="00132CF2"/>
    <w:rsid w:val="00134B8F"/>
    <w:rsid w:val="00134FAD"/>
    <w:rsid w:val="0013542E"/>
    <w:rsid w:val="001363E4"/>
    <w:rsid w:val="00136B50"/>
    <w:rsid w:val="001413FF"/>
    <w:rsid w:val="00146F35"/>
    <w:rsid w:val="0015144B"/>
    <w:rsid w:val="001525DC"/>
    <w:rsid w:val="00153156"/>
    <w:rsid w:val="00153942"/>
    <w:rsid w:val="00155558"/>
    <w:rsid w:val="00155CA5"/>
    <w:rsid w:val="0015640B"/>
    <w:rsid w:val="001566FE"/>
    <w:rsid w:val="00161288"/>
    <w:rsid w:val="00161F1E"/>
    <w:rsid w:val="00163312"/>
    <w:rsid w:val="00165D78"/>
    <w:rsid w:val="001673BC"/>
    <w:rsid w:val="001732C8"/>
    <w:rsid w:val="00175527"/>
    <w:rsid w:val="00175B85"/>
    <w:rsid w:val="00177B14"/>
    <w:rsid w:val="00177BA7"/>
    <w:rsid w:val="0018229B"/>
    <w:rsid w:val="0018348B"/>
    <w:rsid w:val="00184ECE"/>
    <w:rsid w:val="00185445"/>
    <w:rsid w:val="00187140"/>
    <w:rsid w:val="001901C2"/>
    <w:rsid w:val="001952D8"/>
    <w:rsid w:val="001A2D9B"/>
    <w:rsid w:val="001A3DFE"/>
    <w:rsid w:val="001A4B2A"/>
    <w:rsid w:val="001A5D53"/>
    <w:rsid w:val="001B40EA"/>
    <w:rsid w:val="001B674F"/>
    <w:rsid w:val="001B6D4B"/>
    <w:rsid w:val="001C14ED"/>
    <w:rsid w:val="001C5D43"/>
    <w:rsid w:val="001C6CA0"/>
    <w:rsid w:val="001C6D8D"/>
    <w:rsid w:val="001D0FD6"/>
    <w:rsid w:val="001D2C0A"/>
    <w:rsid w:val="001D3917"/>
    <w:rsid w:val="001D4249"/>
    <w:rsid w:val="001D68BB"/>
    <w:rsid w:val="001D6FE1"/>
    <w:rsid w:val="001E0650"/>
    <w:rsid w:val="001E1AC5"/>
    <w:rsid w:val="001E3840"/>
    <w:rsid w:val="001E47F5"/>
    <w:rsid w:val="001E5FE4"/>
    <w:rsid w:val="001E6CE0"/>
    <w:rsid w:val="001E6E0F"/>
    <w:rsid w:val="001F1253"/>
    <w:rsid w:val="001F44BF"/>
    <w:rsid w:val="001F6396"/>
    <w:rsid w:val="00201EA5"/>
    <w:rsid w:val="00202085"/>
    <w:rsid w:val="0020330B"/>
    <w:rsid w:val="00204C12"/>
    <w:rsid w:val="00205AA8"/>
    <w:rsid w:val="00207F9A"/>
    <w:rsid w:val="00212837"/>
    <w:rsid w:val="00213F47"/>
    <w:rsid w:val="00217255"/>
    <w:rsid w:val="00217934"/>
    <w:rsid w:val="002263A5"/>
    <w:rsid w:val="002272A3"/>
    <w:rsid w:val="00234125"/>
    <w:rsid w:val="00235ADE"/>
    <w:rsid w:val="0023677B"/>
    <w:rsid w:val="0023683B"/>
    <w:rsid w:val="00242A05"/>
    <w:rsid w:val="002475FB"/>
    <w:rsid w:val="0025036E"/>
    <w:rsid w:val="002545EC"/>
    <w:rsid w:val="00254FD9"/>
    <w:rsid w:val="002553C9"/>
    <w:rsid w:val="0025571E"/>
    <w:rsid w:val="00261D8B"/>
    <w:rsid w:val="0027455B"/>
    <w:rsid w:val="002756EE"/>
    <w:rsid w:val="002837DD"/>
    <w:rsid w:val="00284BB9"/>
    <w:rsid w:val="002859D3"/>
    <w:rsid w:val="00287548"/>
    <w:rsid w:val="00287FA1"/>
    <w:rsid w:val="00293510"/>
    <w:rsid w:val="0029379D"/>
    <w:rsid w:val="00293FB0"/>
    <w:rsid w:val="002947AC"/>
    <w:rsid w:val="00296017"/>
    <w:rsid w:val="002A0FB1"/>
    <w:rsid w:val="002A220D"/>
    <w:rsid w:val="002A3AA1"/>
    <w:rsid w:val="002A445A"/>
    <w:rsid w:val="002A4B5E"/>
    <w:rsid w:val="002A521E"/>
    <w:rsid w:val="002A6AD5"/>
    <w:rsid w:val="002B02CA"/>
    <w:rsid w:val="002B4710"/>
    <w:rsid w:val="002C27CC"/>
    <w:rsid w:val="002C32F4"/>
    <w:rsid w:val="002C373D"/>
    <w:rsid w:val="002C64A9"/>
    <w:rsid w:val="002D1B6E"/>
    <w:rsid w:val="002D34EC"/>
    <w:rsid w:val="002D7376"/>
    <w:rsid w:val="002E484B"/>
    <w:rsid w:val="002E7FB6"/>
    <w:rsid w:val="002F1F96"/>
    <w:rsid w:val="002F243F"/>
    <w:rsid w:val="002F2E07"/>
    <w:rsid w:val="002F3D24"/>
    <w:rsid w:val="002F4543"/>
    <w:rsid w:val="002F7322"/>
    <w:rsid w:val="003004C6"/>
    <w:rsid w:val="00300AD0"/>
    <w:rsid w:val="003067E0"/>
    <w:rsid w:val="00313C6D"/>
    <w:rsid w:val="00315BDE"/>
    <w:rsid w:val="0031693B"/>
    <w:rsid w:val="00324043"/>
    <w:rsid w:val="00330AE3"/>
    <w:rsid w:val="00332229"/>
    <w:rsid w:val="00332CB3"/>
    <w:rsid w:val="00336946"/>
    <w:rsid w:val="00342003"/>
    <w:rsid w:val="003445F4"/>
    <w:rsid w:val="0034493F"/>
    <w:rsid w:val="003503E7"/>
    <w:rsid w:val="00351E07"/>
    <w:rsid w:val="00352735"/>
    <w:rsid w:val="003534B4"/>
    <w:rsid w:val="003544FC"/>
    <w:rsid w:val="00357785"/>
    <w:rsid w:val="00357BA2"/>
    <w:rsid w:val="00360D8E"/>
    <w:rsid w:val="00370004"/>
    <w:rsid w:val="00376610"/>
    <w:rsid w:val="003770E4"/>
    <w:rsid w:val="00381E2F"/>
    <w:rsid w:val="003826A8"/>
    <w:rsid w:val="00383ACE"/>
    <w:rsid w:val="00385787"/>
    <w:rsid w:val="003862A1"/>
    <w:rsid w:val="00390755"/>
    <w:rsid w:val="0039099B"/>
    <w:rsid w:val="00391E08"/>
    <w:rsid w:val="00391FA7"/>
    <w:rsid w:val="003922FE"/>
    <w:rsid w:val="00393E08"/>
    <w:rsid w:val="003A00AF"/>
    <w:rsid w:val="003A4318"/>
    <w:rsid w:val="003A4AFD"/>
    <w:rsid w:val="003B2100"/>
    <w:rsid w:val="003B5927"/>
    <w:rsid w:val="003C2AA8"/>
    <w:rsid w:val="003C33DA"/>
    <w:rsid w:val="003C37EB"/>
    <w:rsid w:val="003D0AC9"/>
    <w:rsid w:val="003D0C21"/>
    <w:rsid w:val="003D20F3"/>
    <w:rsid w:val="003E0AD0"/>
    <w:rsid w:val="003E19EC"/>
    <w:rsid w:val="003E2EFE"/>
    <w:rsid w:val="003E3CA2"/>
    <w:rsid w:val="003E3ECD"/>
    <w:rsid w:val="003F4D84"/>
    <w:rsid w:val="00400CF4"/>
    <w:rsid w:val="0040191E"/>
    <w:rsid w:val="00406891"/>
    <w:rsid w:val="00415B41"/>
    <w:rsid w:val="004169B6"/>
    <w:rsid w:val="00416E69"/>
    <w:rsid w:val="00421FF9"/>
    <w:rsid w:val="00424362"/>
    <w:rsid w:val="0042441F"/>
    <w:rsid w:val="004250AA"/>
    <w:rsid w:val="00425F0D"/>
    <w:rsid w:val="0042776A"/>
    <w:rsid w:val="0043778F"/>
    <w:rsid w:val="00442CD4"/>
    <w:rsid w:val="0044688F"/>
    <w:rsid w:val="004549B9"/>
    <w:rsid w:val="00455F0F"/>
    <w:rsid w:val="0045606F"/>
    <w:rsid w:val="004563A5"/>
    <w:rsid w:val="00457FEC"/>
    <w:rsid w:val="004636A8"/>
    <w:rsid w:val="00463EC4"/>
    <w:rsid w:val="0046790C"/>
    <w:rsid w:val="00470793"/>
    <w:rsid w:val="0047092E"/>
    <w:rsid w:val="004719BF"/>
    <w:rsid w:val="00475352"/>
    <w:rsid w:val="00477414"/>
    <w:rsid w:val="00481544"/>
    <w:rsid w:val="0048155A"/>
    <w:rsid w:val="00482D4F"/>
    <w:rsid w:val="0048312C"/>
    <w:rsid w:val="00485CF6"/>
    <w:rsid w:val="004904A4"/>
    <w:rsid w:val="00492057"/>
    <w:rsid w:val="004926C0"/>
    <w:rsid w:val="004928BC"/>
    <w:rsid w:val="00492E5D"/>
    <w:rsid w:val="00493F66"/>
    <w:rsid w:val="00495148"/>
    <w:rsid w:val="00497FD3"/>
    <w:rsid w:val="004A226E"/>
    <w:rsid w:val="004A2BA4"/>
    <w:rsid w:val="004A2CF3"/>
    <w:rsid w:val="004A3934"/>
    <w:rsid w:val="004A7D79"/>
    <w:rsid w:val="004B39B6"/>
    <w:rsid w:val="004B7F4C"/>
    <w:rsid w:val="004C0739"/>
    <w:rsid w:val="004C0DA7"/>
    <w:rsid w:val="004C6B72"/>
    <w:rsid w:val="004D0D2A"/>
    <w:rsid w:val="004D0FF1"/>
    <w:rsid w:val="004D53F2"/>
    <w:rsid w:val="004D6C19"/>
    <w:rsid w:val="004E000D"/>
    <w:rsid w:val="004E7EA8"/>
    <w:rsid w:val="004F2FFE"/>
    <w:rsid w:val="004F3BC9"/>
    <w:rsid w:val="004F63EC"/>
    <w:rsid w:val="00503FDA"/>
    <w:rsid w:val="00512DEC"/>
    <w:rsid w:val="0051402F"/>
    <w:rsid w:val="00517411"/>
    <w:rsid w:val="0053686B"/>
    <w:rsid w:val="005375C0"/>
    <w:rsid w:val="00537A88"/>
    <w:rsid w:val="00541AC2"/>
    <w:rsid w:val="00542B75"/>
    <w:rsid w:val="00543C23"/>
    <w:rsid w:val="00546C16"/>
    <w:rsid w:val="005517BF"/>
    <w:rsid w:val="00552CAF"/>
    <w:rsid w:val="005550C6"/>
    <w:rsid w:val="00556EA3"/>
    <w:rsid w:val="005637F6"/>
    <w:rsid w:val="005667DC"/>
    <w:rsid w:val="0056725E"/>
    <w:rsid w:val="00570FE4"/>
    <w:rsid w:val="005714C3"/>
    <w:rsid w:val="0057258A"/>
    <w:rsid w:val="0057285C"/>
    <w:rsid w:val="00573BC3"/>
    <w:rsid w:val="00575488"/>
    <w:rsid w:val="00583D32"/>
    <w:rsid w:val="0059390B"/>
    <w:rsid w:val="00594C0E"/>
    <w:rsid w:val="00594E98"/>
    <w:rsid w:val="00596DAF"/>
    <w:rsid w:val="005974E3"/>
    <w:rsid w:val="005A017C"/>
    <w:rsid w:val="005A2EFF"/>
    <w:rsid w:val="005A58BC"/>
    <w:rsid w:val="005A7178"/>
    <w:rsid w:val="005B10A6"/>
    <w:rsid w:val="005B4647"/>
    <w:rsid w:val="005B5585"/>
    <w:rsid w:val="005B5E8F"/>
    <w:rsid w:val="005C0107"/>
    <w:rsid w:val="005C1DAF"/>
    <w:rsid w:val="005C272C"/>
    <w:rsid w:val="005C2D19"/>
    <w:rsid w:val="005C2DAB"/>
    <w:rsid w:val="005E0190"/>
    <w:rsid w:val="005E1714"/>
    <w:rsid w:val="005E25B6"/>
    <w:rsid w:val="005E29CB"/>
    <w:rsid w:val="005E2E30"/>
    <w:rsid w:val="005E3629"/>
    <w:rsid w:val="005E5B05"/>
    <w:rsid w:val="005E5C72"/>
    <w:rsid w:val="005E656F"/>
    <w:rsid w:val="005F6B6E"/>
    <w:rsid w:val="00603EE9"/>
    <w:rsid w:val="00605A1A"/>
    <w:rsid w:val="00611D6E"/>
    <w:rsid w:val="0061598B"/>
    <w:rsid w:val="00616559"/>
    <w:rsid w:val="006168D6"/>
    <w:rsid w:val="00617914"/>
    <w:rsid w:val="006205B3"/>
    <w:rsid w:val="006215F0"/>
    <w:rsid w:val="00621A0D"/>
    <w:rsid w:val="006243D4"/>
    <w:rsid w:val="00624E92"/>
    <w:rsid w:val="006268CD"/>
    <w:rsid w:val="006269D3"/>
    <w:rsid w:val="006278A5"/>
    <w:rsid w:val="00630CB4"/>
    <w:rsid w:val="00634736"/>
    <w:rsid w:val="006421D4"/>
    <w:rsid w:val="0065051C"/>
    <w:rsid w:val="00651729"/>
    <w:rsid w:val="006520AE"/>
    <w:rsid w:val="0065218D"/>
    <w:rsid w:val="006554E7"/>
    <w:rsid w:val="00655E0F"/>
    <w:rsid w:val="00656FB4"/>
    <w:rsid w:val="0065772A"/>
    <w:rsid w:val="006613BB"/>
    <w:rsid w:val="006641B7"/>
    <w:rsid w:val="00665703"/>
    <w:rsid w:val="0066689D"/>
    <w:rsid w:val="00674D1F"/>
    <w:rsid w:val="00674D71"/>
    <w:rsid w:val="00674FF6"/>
    <w:rsid w:val="00675094"/>
    <w:rsid w:val="006770CB"/>
    <w:rsid w:val="006772BB"/>
    <w:rsid w:val="0067763C"/>
    <w:rsid w:val="00682AEF"/>
    <w:rsid w:val="00684209"/>
    <w:rsid w:val="006860DB"/>
    <w:rsid w:val="00686335"/>
    <w:rsid w:val="006865BC"/>
    <w:rsid w:val="00687B2E"/>
    <w:rsid w:val="00694478"/>
    <w:rsid w:val="006964A0"/>
    <w:rsid w:val="00697ABB"/>
    <w:rsid w:val="00697C06"/>
    <w:rsid w:val="006A25EF"/>
    <w:rsid w:val="006A2619"/>
    <w:rsid w:val="006A2E1E"/>
    <w:rsid w:val="006A6AF4"/>
    <w:rsid w:val="006B0057"/>
    <w:rsid w:val="006B10E0"/>
    <w:rsid w:val="006B1959"/>
    <w:rsid w:val="006B40FD"/>
    <w:rsid w:val="006C0DD6"/>
    <w:rsid w:val="006C1581"/>
    <w:rsid w:val="006C3D1D"/>
    <w:rsid w:val="006C5B66"/>
    <w:rsid w:val="006D0CE5"/>
    <w:rsid w:val="006D34C2"/>
    <w:rsid w:val="006D3ADF"/>
    <w:rsid w:val="006D4651"/>
    <w:rsid w:val="006D6270"/>
    <w:rsid w:val="006D6D0F"/>
    <w:rsid w:val="006E1FFD"/>
    <w:rsid w:val="006E205E"/>
    <w:rsid w:val="006E40BF"/>
    <w:rsid w:val="006E611F"/>
    <w:rsid w:val="006E6469"/>
    <w:rsid w:val="006E6C43"/>
    <w:rsid w:val="006E762D"/>
    <w:rsid w:val="006F6926"/>
    <w:rsid w:val="007024FB"/>
    <w:rsid w:val="00702E61"/>
    <w:rsid w:val="00703576"/>
    <w:rsid w:val="00704A30"/>
    <w:rsid w:val="00707AD3"/>
    <w:rsid w:val="007102E0"/>
    <w:rsid w:val="00710DF9"/>
    <w:rsid w:val="007149E6"/>
    <w:rsid w:val="00714EBF"/>
    <w:rsid w:val="0071522A"/>
    <w:rsid w:val="00716689"/>
    <w:rsid w:val="00716F1C"/>
    <w:rsid w:val="00717D31"/>
    <w:rsid w:val="0072058C"/>
    <w:rsid w:val="0072218C"/>
    <w:rsid w:val="00723839"/>
    <w:rsid w:val="007263E2"/>
    <w:rsid w:val="0072684B"/>
    <w:rsid w:val="007270ED"/>
    <w:rsid w:val="00730741"/>
    <w:rsid w:val="00730C23"/>
    <w:rsid w:val="00730CE6"/>
    <w:rsid w:val="00733187"/>
    <w:rsid w:val="007355B5"/>
    <w:rsid w:val="007363E0"/>
    <w:rsid w:val="00737F52"/>
    <w:rsid w:val="007402E3"/>
    <w:rsid w:val="00742D30"/>
    <w:rsid w:val="00744A34"/>
    <w:rsid w:val="00750DEC"/>
    <w:rsid w:val="00751ED5"/>
    <w:rsid w:val="007524AB"/>
    <w:rsid w:val="007536D6"/>
    <w:rsid w:val="00753B05"/>
    <w:rsid w:val="00756D9D"/>
    <w:rsid w:val="007611F9"/>
    <w:rsid w:val="00761BAB"/>
    <w:rsid w:val="0076284A"/>
    <w:rsid w:val="00767306"/>
    <w:rsid w:val="00767ED8"/>
    <w:rsid w:val="00774756"/>
    <w:rsid w:val="00774BF7"/>
    <w:rsid w:val="00774D99"/>
    <w:rsid w:val="007753A3"/>
    <w:rsid w:val="00775BA5"/>
    <w:rsid w:val="00775FE3"/>
    <w:rsid w:val="007857F3"/>
    <w:rsid w:val="00786702"/>
    <w:rsid w:val="00787691"/>
    <w:rsid w:val="007A1ABB"/>
    <w:rsid w:val="007A1C11"/>
    <w:rsid w:val="007A330F"/>
    <w:rsid w:val="007A64C9"/>
    <w:rsid w:val="007A73B1"/>
    <w:rsid w:val="007B18E3"/>
    <w:rsid w:val="007B2F0E"/>
    <w:rsid w:val="007B4BC8"/>
    <w:rsid w:val="007C163C"/>
    <w:rsid w:val="007C39C8"/>
    <w:rsid w:val="007C4044"/>
    <w:rsid w:val="007C4900"/>
    <w:rsid w:val="007C6856"/>
    <w:rsid w:val="007D3CA0"/>
    <w:rsid w:val="007D7721"/>
    <w:rsid w:val="007E0C6A"/>
    <w:rsid w:val="007E12EE"/>
    <w:rsid w:val="007E3CDB"/>
    <w:rsid w:val="007E3DE0"/>
    <w:rsid w:val="007F02FC"/>
    <w:rsid w:val="007F0595"/>
    <w:rsid w:val="007F17F9"/>
    <w:rsid w:val="007F26F1"/>
    <w:rsid w:val="007F31B0"/>
    <w:rsid w:val="007F64A8"/>
    <w:rsid w:val="007F7650"/>
    <w:rsid w:val="008044A7"/>
    <w:rsid w:val="0080492E"/>
    <w:rsid w:val="00806722"/>
    <w:rsid w:val="00807A1B"/>
    <w:rsid w:val="00810029"/>
    <w:rsid w:val="0081044B"/>
    <w:rsid w:val="00815071"/>
    <w:rsid w:val="008169CB"/>
    <w:rsid w:val="00817F88"/>
    <w:rsid w:val="00820C24"/>
    <w:rsid w:val="00824C2F"/>
    <w:rsid w:val="008255D9"/>
    <w:rsid w:val="00826F5F"/>
    <w:rsid w:val="008274E4"/>
    <w:rsid w:val="0083192B"/>
    <w:rsid w:val="00835181"/>
    <w:rsid w:val="00837B92"/>
    <w:rsid w:val="0084103F"/>
    <w:rsid w:val="00841BD9"/>
    <w:rsid w:val="00842167"/>
    <w:rsid w:val="00844595"/>
    <w:rsid w:val="008548C8"/>
    <w:rsid w:val="00856164"/>
    <w:rsid w:val="00856B7D"/>
    <w:rsid w:val="00860443"/>
    <w:rsid w:val="00860773"/>
    <w:rsid w:val="00863099"/>
    <w:rsid w:val="008642B1"/>
    <w:rsid w:val="00866C3A"/>
    <w:rsid w:val="00867A0B"/>
    <w:rsid w:val="00871CBA"/>
    <w:rsid w:val="00874856"/>
    <w:rsid w:val="008748AF"/>
    <w:rsid w:val="00875501"/>
    <w:rsid w:val="00877718"/>
    <w:rsid w:val="00877C9D"/>
    <w:rsid w:val="00880C51"/>
    <w:rsid w:val="00880D41"/>
    <w:rsid w:val="00882689"/>
    <w:rsid w:val="00886084"/>
    <w:rsid w:val="008870D8"/>
    <w:rsid w:val="00887D76"/>
    <w:rsid w:val="008A7126"/>
    <w:rsid w:val="008A7C3B"/>
    <w:rsid w:val="008B1FB2"/>
    <w:rsid w:val="008B2C67"/>
    <w:rsid w:val="008B2E44"/>
    <w:rsid w:val="008C1C51"/>
    <w:rsid w:val="008C21FB"/>
    <w:rsid w:val="008C23D3"/>
    <w:rsid w:val="008C3149"/>
    <w:rsid w:val="008C4EFC"/>
    <w:rsid w:val="008C544E"/>
    <w:rsid w:val="008C62EA"/>
    <w:rsid w:val="008D23A6"/>
    <w:rsid w:val="008D47BE"/>
    <w:rsid w:val="008D4B99"/>
    <w:rsid w:val="008D50E8"/>
    <w:rsid w:val="008D6E3B"/>
    <w:rsid w:val="008E0BD3"/>
    <w:rsid w:val="008E2DFD"/>
    <w:rsid w:val="008E3734"/>
    <w:rsid w:val="008E5467"/>
    <w:rsid w:val="008F0224"/>
    <w:rsid w:val="008F1682"/>
    <w:rsid w:val="008F69AD"/>
    <w:rsid w:val="008F6BF6"/>
    <w:rsid w:val="009005B0"/>
    <w:rsid w:val="00901E7E"/>
    <w:rsid w:val="009036BD"/>
    <w:rsid w:val="00903F36"/>
    <w:rsid w:val="0090548A"/>
    <w:rsid w:val="009068D2"/>
    <w:rsid w:val="00907F3B"/>
    <w:rsid w:val="00911BB9"/>
    <w:rsid w:val="00912726"/>
    <w:rsid w:val="00912ABD"/>
    <w:rsid w:val="00912B02"/>
    <w:rsid w:val="0091328B"/>
    <w:rsid w:val="00913E1A"/>
    <w:rsid w:val="00914639"/>
    <w:rsid w:val="00915718"/>
    <w:rsid w:val="0092075A"/>
    <w:rsid w:val="009213BD"/>
    <w:rsid w:val="00922222"/>
    <w:rsid w:val="0092364D"/>
    <w:rsid w:val="0092505C"/>
    <w:rsid w:val="009250E4"/>
    <w:rsid w:val="00925D7B"/>
    <w:rsid w:val="00926100"/>
    <w:rsid w:val="009270E7"/>
    <w:rsid w:val="00932653"/>
    <w:rsid w:val="00934602"/>
    <w:rsid w:val="00936277"/>
    <w:rsid w:val="00940D2A"/>
    <w:rsid w:val="0094778F"/>
    <w:rsid w:val="009478D3"/>
    <w:rsid w:val="00962BBB"/>
    <w:rsid w:val="00963648"/>
    <w:rsid w:val="00963C66"/>
    <w:rsid w:val="009650D7"/>
    <w:rsid w:val="0096538C"/>
    <w:rsid w:val="00965441"/>
    <w:rsid w:val="00967309"/>
    <w:rsid w:val="00971BB1"/>
    <w:rsid w:val="009761C1"/>
    <w:rsid w:val="0097622B"/>
    <w:rsid w:val="0097663C"/>
    <w:rsid w:val="009766D2"/>
    <w:rsid w:val="009770BB"/>
    <w:rsid w:val="00984A7D"/>
    <w:rsid w:val="00991E64"/>
    <w:rsid w:val="009921D4"/>
    <w:rsid w:val="009922F3"/>
    <w:rsid w:val="00996D48"/>
    <w:rsid w:val="009A142B"/>
    <w:rsid w:val="009A265E"/>
    <w:rsid w:val="009A2FE1"/>
    <w:rsid w:val="009A5357"/>
    <w:rsid w:val="009B0829"/>
    <w:rsid w:val="009B0C09"/>
    <w:rsid w:val="009B14F3"/>
    <w:rsid w:val="009B2123"/>
    <w:rsid w:val="009B3D85"/>
    <w:rsid w:val="009B65AC"/>
    <w:rsid w:val="009C036A"/>
    <w:rsid w:val="009C2035"/>
    <w:rsid w:val="009C253A"/>
    <w:rsid w:val="009C2FBB"/>
    <w:rsid w:val="009C3DA4"/>
    <w:rsid w:val="009D012A"/>
    <w:rsid w:val="009D4C22"/>
    <w:rsid w:val="009E2BF8"/>
    <w:rsid w:val="009E42E0"/>
    <w:rsid w:val="009F2D98"/>
    <w:rsid w:val="009F7F7B"/>
    <w:rsid w:val="00A00A96"/>
    <w:rsid w:val="00A01001"/>
    <w:rsid w:val="00A02394"/>
    <w:rsid w:val="00A1102F"/>
    <w:rsid w:val="00A133CC"/>
    <w:rsid w:val="00A14453"/>
    <w:rsid w:val="00A147F8"/>
    <w:rsid w:val="00A14A11"/>
    <w:rsid w:val="00A1578F"/>
    <w:rsid w:val="00A1681C"/>
    <w:rsid w:val="00A16C0E"/>
    <w:rsid w:val="00A17A20"/>
    <w:rsid w:val="00A2132E"/>
    <w:rsid w:val="00A2228F"/>
    <w:rsid w:val="00A24025"/>
    <w:rsid w:val="00A24390"/>
    <w:rsid w:val="00A262AA"/>
    <w:rsid w:val="00A27DE9"/>
    <w:rsid w:val="00A27F7F"/>
    <w:rsid w:val="00A301DA"/>
    <w:rsid w:val="00A36170"/>
    <w:rsid w:val="00A36270"/>
    <w:rsid w:val="00A402BF"/>
    <w:rsid w:val="00A42C2F"/>
    <w:rsid w:val="00A44A9B"/>
    <w:rsid w:val="00A46DA0"/>
    <w:rsid w:val="00A50915"/>
    <w:rsid w:val="00A51084"/>
    <w:rsid w:val="00A52C83"/>
    <w:rsid w:val="00A544A8"/>
    <w:rsid w:val="00A565BC"/>
    <w:rsid w:val="00A611C6"/>
    <w:rsid w:val="00A663B5"/>
    <w:rsid w:val="00A66E8C"/>
    <w:rsid w:val="00A70254"/>
    <w:rsid w:val="00A73BE3"/>
    <w:rsid w:val="00A76673"/>
    <w:rsid w:val="00A81C8A"/>
    <w:rsid w:val="00A85524"/>
    <w:rsid w:val="00A964B6"/>
    <w:rsid w:val="00A96EF8"/>
    <w:rsid w:val="00AA224B"/>
    <w:rsid w:val="00AA255E"/>
    <w:rsid w:val="00AA2ACA"/>
    <w:rsid w:val="00AA3D6F"/>
    <w:rsid w:val="00AA4BBE"/>
    <w:rsid w:val="00AA68DF"/>
    <w:rsid w:val="00AB32BF"/>
    <w:rsid w:val="00AB3D46"/>
    <w:rsid w:val="00AB4CF0"/>
    <w:rsid w:val="00AB53AE"/>
    <w:rsid w:val="00AB72CE"/>
    <w:rsid w:val="00AC23E3"/>
    <w:rsid w:val="00AC6CAE"/>
    <w:rsid w:val="00AD20F2"/>
    <w:rsid w:val="00AD4022"/>
    <w:rsid w:val="00AD46F6"/>
    <w:rsid w:val="00AD4CB7"/>
    <w:rsid w:val="00AD5417"/>
    <w:rsid w:val="00AD6299"/>
    <w:rsid w:val="00AE281A"/>
    <w:rsid w:val="00AF376C"/>
    <w:rsid w:val="00AF38D7"/>
    <w:rsid w:val="00AF7575"/>
    <w:rsid w:val="00B01DBF"/>
    <w:rsid w:val="00B0238E"/>
    <w:rsid w:val="00B03531"/>
    <w:rsid w:val="00B04A95"/>
    <w:rsid w:val="00B04FEE"/>
    <w:rsid w:val="00B05549"/>
    <w:rsid w:val="00B06C4F"/>
    <w:rsid w:val="00B07CEA"/>
    <w:rsid w:val="00B07EC3"/>
    <w:rsid w:val="00B11044"/>
    <w:rsid w:val="00B11D3E"/>
    <w:rsid w:val="00B1227A"/>
    <w:rsid w:val="00B15869"/>
    <w:rsid w:val="00B17343"/>
    <w:rsid w:val="00B17B9E"/>
    <w:rsid w:val="00B20F1D"/>
    <w:rsid w:val="00B213EB"/>
    <w:rsid w:val="00B25B20"/>
    <w:rsid w:val="00B26053"/>
    <w:rsid w:val="00B32AE9"/>
    <w:rsid w:val="00B342F1"/>
    <w:rsid w:val="00B34375"/>
    <w:rsid w:val="00B34FD5"/>
    <w:rsid w:val="00B35806"/>
    <w:rsid w:val="00B35BB4"/>
    <w:rsid w:val="00B36557"/>
    <w:rsid w:val="00B47641"/>
    <w:rsid w:val="00B54B30"/>
    <w:rsid w:val="00B554A5"/>
    <w:rsid w:val="00B56D84"/>
    <w:rsid w:val="00B56DD6"/>
    <w:rsid w:val="00B61031"/>
    <w:rsid w:val="00B637F6"/>
    <w:rsid w:val="00B6781F"/>
    <w:rsid w:val="00B734CA"/>
    <w:rsid w:val="00B74070"/>
    <w:rsid w:val="00B74778"/>
    <w:rsid w:val="00B75271"/>
    <w:rsid w:val="00B8241A"/>
    <w:rsid w:val="00B8256D"/>
    <w:rsid w:val="00B872DA"/>
    <w:rsid w:val="00BA16CE"/>
    <w:rsid w:val="00BA586C"/>
    <w:rsid w:val="00BA7167"/>
    <w:rsid w:val="00BB0200"/>
    <w:rsid w:val="00BB0267"/>
    <w:rsid w:val="00BB2109"/>
    <w:rsid w:val="00BB60F6"/>
    <w:rsid w:val="00BB65EA"/>
    <w:rsid w:val="00BC565F"/>
    <w:rsid w:val="00BC7005"/>
    <w:rsid w:val="00BC7240"/>
    <w:rsid w:val="00BC7247"/>
    <w:rsid w:val="00BD342E"/>
    <w:rsid w:val="00BD5AD7"/>
    <w:rsid w:val="00BD7271"/>
    <w:rsid w:val="00BE0BEA"/>
    <w:rsid w:val="00BE2000"/>
    <w:rsid w:val="00BE292F"/>
    <w:rsid w:val="00BE3E97"/>
    <w:rsid w:val="00BE3F6A"/>
    <w:rsid w:val="00BE4FFB"/>
    <w:rsid w:val="00BE79C6"/>
    <w:rsid w:val="00BF4072"/>
    <w:rsid w:val="00C00C74"/>
    <w:rsid w:val="00C0261C"/>
    <w:rsid w:val="00C02F04"/>
    <w:rsid w:val="00C034FE"/>
    <w:rsid w:val="00C05115"/>
    <w:rsid w:val="00C051CE"/>
    <w:rsid w:val="00C05356"/>
    <w:rsid w:val="00C0573D"/>
    <w:rsid w:val="00C143DC"/>
    <w:rsid w:val="00C158A4"/>
    <w:rsid w:val="00C172B6"/>
    <w:rsid w:val="00C25253"/>
    <w:rsid w:val="00C3016F"/>
    <w:rsid w:val="00C3029D"/>
    <w:rsid w:val="00C31277"/>
    <w:rsid w:val="00C31EE6"/>
    <w:rsid w:val="00C323AC"/>
    <w:rsid w:val="00C35B34"/>
    <w:rsid w:val="00C37B43"/>
    <w:rsid w:val="00C37D0A"/>
    <w:rsid w:val="00C540D1"/>
    <w:rsid w:val="00C57535"/>
    <w:rsid w:val="00C57800"/>
    <w:rsid w:val="00C6309B"/>
    <w:rsid w:val="00C64003"/>
    <w:rsid w:val="00C66C16"/>
    <w:rsid w:val="00C70A4B"/>
    <w:rsid w:val="00C7237C"/>
    <w:rsid w:val="00C75AA1"/>
    <w:rsid w:val="00C760B4"/>
    <w:rsid w:val="00C76797"/>
    <w:rsid w:val="00C76D74"/>
    <w:rsid w:val="00C8010A"/>
    <w:rsid w:val="00C837DB"/>
    <w:rsid w:val="00C843F3"/>
    <w:rsid w:val="00C86C8D"/>
    <w:rsid w:val="00C91C83"/>
    <w:rsid w:val="00C95E1D"/>
    <w:rsid w:val="00C96A8A"/>
    <w:rsid w:val="00CA5F48"/>
    <w:rsid w:val="00CA7371"/>
    <w:rsid w:val="00CB2BB2"/>
    <w:rsid w:val="00CB6D2C"/>
    <w:rsid w:val="00CC21EE"/>
    <w:rsid w:val="00CC2619"/>
    <w:rsid w:val="00CC642A"/>
    <w:rsid w:val="00CC67B1"/>
    <w:rsid w:val="00CC6C4D"/>
    <w:rsid w:val="00CC71A1"/>
    <w:rsid w:val="00CC7979"/>
    <w:rsid w:val="00CD02A6"/>
    <w:rsid w:val="00CD0E3F"/>
    <w:rsid w:val="00CD33A9"/>
    <w:rsid w:val="00CD3D08"/>
    <w:rsid w:val="00CE17E7"/>
    <w:rsid w:val="00CE1D73"/>
    <w:rsid w:val="00CE3844"/>
    <w:rsid w:val="00CE6AF8"/>
    <w:rsid w:val="00CF2759"/>
    <w:rsid w:val="00CF4661"/>
    <w:rsid w:val="00CF5CA6"/>
    <w:rsid w:val="00CF70C4"/>
    <w:rsid w:val="00D01A20"/>
    <w:rsid w:val="00D05639"/>
    <w:rsid w:val="00D05891"/>
    <w:rsid w:val="00D06CDC"/>
    <w:rsid w:val="00D07674"/>
    <w:rsid w:val="00D07957"/>
    <w:rsid w:val="00D14AD7"/>
    <w:rsid w:val="00D1598E"/>
    <w:rsid w:val="00D17026"/>
    <w:rsid w:val="00D1730B"/>
    <w:rsid w:val="00D17A61"/>
    <w:rsid w:val="00D21E8F"/>
    <w:rsid w:val="00D22931"/>
    <w:rsid w:val="00D23418"/>
    <w:rsid w:val="00D24329"/>
    <w:rsid w:val="00D26A79"/>
    <w:rsid w:val="00D26CCB"/>
    <w:rsid w:val="00D27488"/>
    <w:rsid w:val="00D319FA"/>
    <w:rsid w:val="00D41830"/>
    <w:rsid w:val="00D422DC"/>
    <w:rsid w:val="00D44A53"/>
    <w:rsid w:val="00D44CD0"/>
    <w:rsid w:val="00D46710"/>
    <w:rsid w:val="00D50633"/>
    <w:rsid w:val="00D50ED5"/>
    <w:rsid w:val="00D51A15"/>
    <w:rsid w:val="00D52719"/>
    <w:rsid w:val="00D56C8D"/>
    <w:rsid w:val="00D57E73"/>
    <w:rsid w:val="00D6540F"/>
    <w:rsid w:val="00D658AF"/>
    <w:rsid w:val="00D70628"/>
    <w:rsid w:val="00D72C6E"/>
    <w:rsid w:val="00D73213"/>
    <w:rsid w:val="00D73A35"/>
    <w:rsid w:val="00D74280"/>
    <w:rsid w:val="00D74EA1"/>
    <w:rsid w:val="00D768B9"/>
    <w:rsid w:val="00D85CCD"/>
    <w:rsid w:val="00D8612D"/>
    <w:rsid w:val="00D90DC4"/>
    <w:rsid w:val="00D925E4"/>
    <w:rsid w:val="00D969D8"/>
    <w:rsid w:val="00DA0270"/>
    <w:rsid w:val="00DA0542"/>
    <w:rsid w:val="00DA0CF9"/>
    <w:rsid w:val="00DA0FFB"/>
    <w:rsid w:val="00DA46CB"/>
    <w:rsid w:val="00DA4837"/>
    <w:rsid w:val="00DA4C34"/>
    <w:rsid w:val="00DB030E"/>
    <w:rsid w:val="00DB48F5"/>
    <w:rsid w:val="00DB66D8"/>
    <w:rsid w:val="00DB69AD"/>
    <w:rsid w:val="00DC0CAD"/>
    <w:rsid w:val="00DC42FC"/>
    <w:rsid w:val="00DC6796"/>
    <w:rsid w:val="00DD1ECC"/>
    <w:rsid w:val="00DD3C97"/>
    <w:rsid w:val="00DD4688"/>
    <w:rsid w:val="00DD56D5"/>
    <w:rsid w:val="00DD628E"/>
    <w:rsid w:val="00DD697C"/>
    <w:rsid w:val="00DE2AD8"/>
    <w:rsid w:val="00DE3CEA"/>
    <w:rsid w:val="00DE4617"/>
    <w:rsid w:val="00DE6B18"/>
    <w:rsid w:val="00DE73E2"/>
    <w:rsid w:val="00DF2ACC"/>
    <w:rsid w:val="00DF2D0C"/>
    <w:rsid w:val="00DF6A80"/>
    <w:rsid w:val="00DF7741"/>
    <w:rsid w:val="00E02069"/>
    <w:rsid w:val="00E02424"/>
    <w:rsid w:val="00E0282F"/>
    <w:rsid w:val="00E04CBB"/>
    <w:rsid w:val="00E06EDF"/>
    <w:rsid w:val="00E10EF2"/>
    <w:rsid w:val="00E13D5F"/>
    <w:rsid w:val="00E21156"/>
    <w:rsid w:val="00E23849"/>
    <w:rsid w:val="00E30E3D"/>
    <w:rsid w:val="00E3148A"/>
    <w:rsid w:val="00E32F49"/>
    <w:rsid w:val="00E333D8"/>
    <w:rsid w:val="00E33407"/>
    <w:rsid w:val="00E35C87"/>
    <w:rsid w:val="00E36CFE"/>
    <w:rsid w:val="00E3788F"/>
    <w:rsid w:val="00E409DA"/>
    <w:rsid w:val="00E44C27"/>
    <w:rsid w:val="00E465FC"/>
    <w:rsid w:val="00E51A78"/>
    <w:rsid w:val="00E55147"/>
    <w:rsid w:val="00E55B6E"/>
    <w:rsid w:val="00E56BF4"/>
    <w:rsid w:val="00E631FB"/>
    <w:rsid w:val="00E6444C"/>
    <w:rsid w:val="00E65D72"/>
    <w:rsid w:val="00E67D89"/>
    <w:rsid w:val="00E718E9"/>
    <w:rsid w:val="00E737A6"/>
    <w:rsid w:val="00E747E2"/>
    <w:rsid w:val="00E758BC"/>
    <w:rsid w:val="00E760CD"/>
    <w:rsid w:val="00E761D6"/>
    <w:rsid w:val="00E7633B"/>
    <w:rsid w:val="00E76E7E"/>
    <w:rsid w:val="00E77349"/>
    <w:rsid w:val="00E77DA5"/>
    <w:rsid w:val="00E81B53"/>
    <w:rsid w:val="00E83EAA"/>
    <w:rsid w:val="00E86002"/>
    <w:rsid w:val="00E903A2"/>
    <w:rsid w:val="00E92936"/>
    <w:rsid w:val="00E92C45"/>
    <w:rsid w:val="00E94195"/>
    <w:rsid w:val="00E95198"/>
    <w:rsid w:val="00E9603D"/>
    <w:rsid w:val="00EA3E49"/>
    <w:rsid w:val="00EB03F1"/>
    <w:rsid w:val="00EB0CDE"/>
    <w:rsid w:val="00EB152B"/>
    <w:rsid w:val="00EB47E9"/>
    <w:rsid w:val="00EB5CE9"/>
    <w:rsid w:val="00EB6D36"/>
    <w:rsid w:val="00EB7267"/>
    <w:rsid w:val="00EB7515"/>
    <w:rsid w:val="00EB7D7E"/>
    <w:rsid w:val="00EC068C"/>
    <w:rsid w:val="00EC0F28"/>
    <w:rsid w:val="00EC47CF"/>
    <w:rsid w:val="00ED127A"/>
    <w:rsid w:val="00ED419E"/>
    <w:rsid w:val="00ED474E"/>
    <w:rsid w:val="00ED58E2"/>
    <w:rsid w:val="00ED5E26"/>
    <w:rsid w:val="00ED5FBE"/>
    <w:rsid w:val="00ED6E8C"/>
    <w:rsid w:val="00ED7435"/>
    <w:rsid w:val="00ED7B0C"/>
    <w:rsid w:val="00EE2FE2"/>
    <w:rsid w:val="00EE6C21"/>
    <w:rsid w:val="00EF4067"/>
    <w:rsid w:val="00EF73B8"/>
    <w:rsid w:val="00EF7991"/>
    <w:rsid w:val="00F023E5"/>
    <w:rsid w:val="00F02BC8"/>
    <w:rsid w:val="00F07345"/>
    <w:rsid w:val="00F12B80"/>
    <w:rsid w:val="00F1423A"/>
    <w:rsid w:val="00F15222"/>
    <w:rsid w:val="00F16C6D"/>
    <w:rsid w:val="00F23F37"/>
    <w:rsid w:val="00F263F8"/>
    <w:rsid w:val="00F320C8"/>
    <w:rsid w:val="00F33F92"/>
    <w:rsid w:val="00F34A97"/>
    <w:rsid w:val="00F423CE"/>
    <w:rsid w:val="00F448CD"/>
    <w:rsid w:val="00F44AF9"/>
    <w:rsid w:val="00F45468"/>
    <w:rsid w:val="00F46998"/>
    <w:rsid w:val="00F50562"/>
    <w:rsid w:val="00F50CDE"/>
    <w:rsid w:val="00F5284A"/>
    <w:rsid w:val="00F53CA3"/>
    <w:rsid w:val="00F55E0F"/>
    <w:rsid w:val="00F56D08"/>
    <w:rsid w:val="00F6259D"/>
    <w:rsid w:val="00F6573C"/>
    <w:rsid w:val="00F85DD0"/>
    <w:rsid w:val="00FA1FDF"/>
    <w:rsid w:val="00FA4679"/>
    <w:rsid w:val="00FA5665"/>
    <w:rsid w:val="00FB3D8B"/>
    <w:rsid w:val="00FB4824"/>
    <w:rsid w:val="00FB5D75"/>
    <w:rsid w:val="00FC23AF"/>
    <w:rsid w:val="00FC72BA"/>
    <w:rsid w:val="00FC7CEE"/>
    <w:rsid w:val="00FD0B3E"/>
    <w:rsid w:val="00FD0D38"/>
    <w:rsid w:val="00FD1173"/>
    <w:rsid w:val="00FD21D1"/>
    <w:rsid w:val="00FD2E0E"/>
    <w:rsid w:val="00FD3DA3"/>
    <w:rsid w:val="00FD6DB9"/>
    <w:rsid w:val="00FE4BC0"/>
    <w:rsid w:val="00FE7CD8"/>
    <w:rsid w:val="00FF3390"/>
    <w:rsid w:val="00FF3868"/>
    <w:rsid w:val="00FF3D7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1E64"/>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34"/>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af5">
    <w:name w:val="Заголовок"/>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AE281A"/>
  </w:style>
  <w:style w:type="character" w:customStyle="1" w:styleId="af9">
    <w:name w:val="Название Знак"/>
    <w:basedOn w:val="a0"/>
    <w:link w:val="af7"/>
    <w:uiPriority w:val="10"/>
    <w:rsid w:val="00AE281A"/>
    <w:rPr>
      <w:rFonts w:ascii="Arial" w:eastAsia="Lucida Sans Unicode" w:hAnsi="Arial" w:cs="Tahoma"/>
      <w:color w:val="000000"/>
      <w:sz w:val="28"/>
      <w:szCs w:val="28"/>
      <w:lang w:val="en-US" w:eastAsia="en-US" w:bidi="en-US"/>
    </w:rPr>
  </w:style>
  <w:style w:type="paragraph" w:styleId="af8">
    <w:name w:val="Subtitle"/>
    <w:basedOn w:val="af5"/>
    <w:next w:val="af"/>
    <w:link w:val="afa"/>
    <w:uiPriority w:val="11"/>
    <w:qFormat/>
    <w:rsid w:val="00AE281A"/>
    <w:pPr>
      <w:jc w:val="center"/>
    </w:pPr>
    <w:rPr>
      <w:i/>
      <w:iCs/>
    </w:rPr>
  </w:style>
  <w:style w:type="character" w:customStyle="1" w:styleId="afa">
    <w:name w:val="Подзаголовок Знак"/>
    <w:basedOn w:val="a0"/>
    <w:link w:val="af8"/>
    <w:uiPriority w:val="11"/>
    <w:rsid w:val="00AE281A"/>
    <w:rPr>
      <w:rFonts w:ascii="Arial" w:eastAsia="Lucida Sans Unicode" w:hAnsi="Arial" w:cs="Tahoma"/>
      <w:i/>
      <w:iCs/>
      <w:color w:val="000000"/>
      <w:sz w:val="28"/>
      <w:szCs w:val="28"/>
      <w:lang w:val="en-US" w:eastAsia="en-US" w:bidi="en-US"/>
    </w:rPr>
  </w:style>
  <w:style w:type="paragraph" w:customStyle="1" w:styleId="afb">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d">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e">
    <w:name w:val="Body Text Indent"/>
    <w:basedOn w:val="a"/>
    <w:link w:val="aff"/>
    <w:rsid w:val="006860DB"/>
    <w:pPr>
      <w:spacing w:after="120"/>
      <w:ind w:left="283"/>
    </w:pPr>
  </w:style>
  <w:style w:type="character" w:customStyle="1" w:styleId="aff">
    <w:name w:val="Основной текст с отступом Знак"/>
    <w:basedOn w:val="a0"/>
    <w:link w:val="afe"/>
    <w:rsid w:val="006860DB"/>
  </w:style>
  <w:style w:type="paragraph" w:customStyle="1" w:styleId="18">
    <w:name w:val="Стиль1"/>
    <w:basedOn w:val="a"/>
    <w:rsid w:val="006860DB"/>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9A142B"/>
  </w:style>
  <w:style w:type="table" w:customStyle="1" w:styleId="1a">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customStyle="1" w:styleId="aff2">
    <w:name w:val="Основной текст_"/>
    <w:basedOn w:val="a0"/>
    <w:link w:val="60"/>
    <w:rsid w:val="00665703"/>
    <w:rPr>
      <w:rFonts w:ascii="Arial" w:eastAsia="Arial" w:hAnsi="Arial" w:cs="Arial"/>
      <w:sz w:val="21"/>
      <w:szCs w:val="21"/>
      <w:shd w:val="clear" w:color="auto" w:fill="FFFFFF"/>
    </w:rPr>
  </w:style>
  <w:style w:type="character" w:customStyle="1" w:styleId="35">
    <w:name w:val="Основной текст3"/>
    <w:basedOn w:val="aff2"/>
    <w:rsid w:val="00665703"/>
    <w:rPr>
      <w:rFonts w:ascii="Arial" w:eastAsia="Arial" w:hAnsi="Arial" w:cs="Arial"/>
      <w:color w:val="000000"/>
      <w:spacing w:val="0"/>
      <w:w w:val="100"/>
      <w:position w:val="0"/>
      <w:sz w:val="21"/>
      <w:szCs w:val="21"/>
      <w:shd w:val="clear" w:color="auto" w:fill="FFFFFF"/>
      <w:lang w:val="ru-RU"/>
    </w:rPr>
  </w:style>
  <w:style w:type="paragraph" w:customStyle="1" w:styleId="60">
    <w:name w:val="Основной текст6"/>
    <w:basedOn w:val="a"/>
    <w:link w:val="aff2"/>
    <w:rsid w:val="00665703"/>
    <w:pPr>
      <w:shd w:val="clear" w:color="auto" w:fill="FFFFFF"/>
      <w:autoSpaceDE/>
      <w:autoSpaceDN/>
      <w:adjustRightInd/>
      <w:spacing w:before="540" w:after="360" w:line="413" w:lineRule="exact"/>
      <w:ind w:hanging="1140"/>
    </w:pPr>
    <w:rPr>
      <w:rFonts w:ascii="Arial" w:eastAsia="Arial" w:hAnsi="Arial" w:cs="Arial"/>
      <w:sz w:val="21"/>
      <w:szCs w:val="21"/>
    </w:rPr>
  </w:style>
  <w:style w:type="character" w:customStyle="1" w:styleId="4">
    <w:name w:val="Основной текст4"/>
    <w:basedOn w:val="aff2"/>
    <w:rsid w:val="00665703"/>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rPr>
  </w:style>
  <w:style w:type="table" w:customStyle="1" w:styleId="TableNormal">
    <w:name w:val="Table Normal"/>
    <w:uiPriority w:val="2"/>
    <w:semiHidden/>
    <w:unhideWhenUsed/>
    <w:qFormat/>
    <w:rsid w:val="00F073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073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073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37F5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37F52"/>
    <w:pPr>
      <w:adjustRightInd/>
      <w:spacing w:before="23"/>
      <w:ind w:left="34" w:right="11" w:firstLine="0"/>
      <w:jc w:val="center"/>
    </w:pPr>
    <w:rPr>
      <w:rFonts w:ascii="Cambria" w:eastAsia="Cambria" w:hAnsi="Cambria" w:cs="Cambria"/>
      <w:sz w:val="22"/>
      <w:szCs w:val="22"/>
      <w:lang w:val="en-US" w:eastAsia="en-US" w:bidi="en-US"/>
    </w:rPr>
  </w:style>
  <w:style w:type="character" w:customStyle="1" w:styleId="105pt">
    <w:name w:val="Основной текст + 10;5 pt"/>
    <w:basedOn w:val="aff2"/>
    <w:rsid w:val="00737F52"/>
    <w:rPr>
      <w:rFonts w:ascii="Arial" w:eastAsia="Arial" w:hAnsi="Arial" w:cs="Arial"/>
      <w:color w:val="000000"/>
      <w:spacing w:val="0"/>
      <w:w w:val="100"/>
      <w:position w:val="0"/>
      <w:sz w:val="21"/>
      <w:szCs w:val="21"/>
      <w:shd w:val="clear" w:color="auto" w:fill="FFFFFF"/>
      <w:lang w:val="ru-RU"/>
    </w:rPr>
  </w:style>
  <w:style w:type="paragraph" w:customStyle="1" w:styleId="2d">
    <w:name w:val="Основной текст2"/>
    <w:basedOn w:val="a"/>
    <w:rsid w:val="00737F52"/>
    <w:pPr>
      <w:shd w:val="clear" w:color="auto" w:fill="FFFFFF"/>
      <w:autoSpaceDE/>
      <w:autoSpaceDN/>
      <w:adjustRightInd/>
      <w:spacing w:before="540" w:after="360" w:line="413" w:lineRule="exact"/>
      <w:ind w:firstLine="0"/>
    </w:pPr>
    <w:rPr>
      <w:rFonts w:ascii="Arial" w:eastAsia="Arial" w:hAnsi="Arial" w:cs="Arial"/>
      <w:sz w:val="23"/>
      <w:szCs w:val="23"/>
      <w:lang w:val="en-US" w:eastAsia="en-US"/>
    </w:rPr>
  </w:style>
  <w:style w:type="table" w:customStyle="1" w:styleId="TableNormal4">
    <w:name w:val="Table Normal4"/>
    <w:uiPriority w:val="2"/>
    <w:semiHidden/>
    <w:unhideWhenUsed/>
    <w:qFormat/>
    <w:rsid w:val="00737F5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9250E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9250E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1E64"/>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34"/>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af5">
    <w:name w:val="Заголовок"/>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AE281A"/>
  </w:style>
  <w:style w:type="character" w:customStyle="1" w:styleId="af9">
    <w:name w:val="Название Знак"/>
    <w:basedOn w:val="a0"/>
    <w:link w:val="af7"/>
    <w:uiPriority w:val="10"/>
    <w:rsid w:val="00AE281A"/>
    <w:rPr>
      <w:rFonts w:ascii="Arial" w:eastAsia="Lucida Sans Unicode" w:hAnsi="Arial" w:cs="Tahoma"/>
      <w:color w:val="000000"/>
      <w:sz w:val="28"/>
      <w:szCs w:val="28"/>
      <w:lang w:val="en-US" w:eastAsia="en-US" w:bidi="en-US"/>
    </w:rPr>
  </w:style>
  <w:style w:type="paragraph" w:styleId="af8">
    <w:name w:val="Subtitle"/>
    <w:basedOn w:val="af5"/>
    <w:next w:val="af"/>
    <w:link w:val="afa"/>
    <w:uiPriority w:val="11"/>
    <w:qFormat/>
    <w:rsid w:val="00AE281A"/>
    <w:pPr>
      <w:jc w:val="center"/>
    </w:pPr>
    <w:rPr>
      <w:i/>
      <w:iCs/>
    </w:rPr>
  </w:style>
  <w:style w:type="character" w:customStyle="1" w:styleId="afa">
    <w:name w:val="Подзаголовок Знак"/>
    <w:basedOn w:val="a0"/>
    <w:link w:val="af8"/>
    <w:uiPriority w:val="11"/>
    <w:rsid w:val="00AE281A"/>
    <w:rPr>
      <w:rFonts w:ascii="Arial" w:eastAsia="Lucida Sans Unicode" w:hAnsi="Arial" w:cs="Tahoma"/>
      <w:i/>
      <w:iCs/>
      <w:color w:val="000000"/>
      <w:sz w:val="28"/>
      <w:szCs w:val="28"/>
      <w:lang w:val="en-US" w:eastAsia="en-US" w:bidi="en-US"/>
    </w:rPr>
  </w:style>
  <w:style w:type="paragraph" w:customStyle="1" w:styleId="afb">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d">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e">
    <w:name w:val="Body Text Indent"/>
    <w:basedOn w:val="a"/>
    <w:link w:val="aff"/>
    <w:rsid w:val="006860DB"/>
    <w:pPr>
      <w:spacing w:after="120"/>
      <w:ind w:left="283"/>
    </w:pPr>
  </w:style>
  <w:style w:type="character" w:customStyle="1" w:styleId="aff">
    <w:name w:val="Основной текст с отступом Знак"/>
    <w:basedOn w:val="a0"/>
    <w:link w:val="afe"/>
    <w:rsid w:val="006860DB"/>
  </w:style>
  <w:style w:type="paragraph" w:customStyle="1" w:styleId="18">
    <w:name w:val="Стиль1"/>
    <w:basedOn w:val="a"/>
    <w:rsid w:val="006860DB"/>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9A142B"/>
  </w:style>
  <w:style w:type="table" w:customStyle="1" w:styleId="1a">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customStyle="1" w:styleId="aff2">
    <w:name w:val="Основной текст_"/>
    <w:basedOn w:val="a0"/>
    <w:link w:val="60"/>
    <w:rsid w:val="00665703"/>
    <w:rPr>
      <w:rFonts w:ascii="Arial" w:eastAsia="Arial" w:hAnsi="Arial" w:cs="Arial"/>
      <w:sz w:val="21"/>
      <w:szCs w:val="21"/>
      <w:shd w:val="clear" w:color="auto" w:fill="FFFFFF"/>
    </w:rPr>
  </w:style>
  <w:style w:type="character" w:customStyle="1" w:styleId="35">
    <w:name w:val="Основной текст3"/>
    <w:basedOn w:val="aff2"/>
    <w:rsid w:val="00665703"/>
    <w:rPr>
      <w:rFonts w:ascii="Arial" w:eastAsia="Arial" w:hAnsi="Arial" w:cs="Arial"/>
      <w:color w:val="000000"/>
      <w:spacing w:val="0"/>
      <w:w w:val="100"/>
      <w:position w:val="0"/>
      <w:sz w:val="21"/>
      <w:szCs w:val="21"/>
      <w:shd w:val="clear" w:color="auto" w:fill="FFFFFF"/>
      <w:lang w:val="ru-RU"/>
    </w:rPr>
  </w:style>
  <w:style w:type="paragraph" w:customStyle="1" w:styleId="60">
    <w:name w:val="Основной текст6"/>
    <w:basedOn w:val="a"/>
    <w:link w:val="aff2"/>
    <w:rsid w:val="00665703"/>
    <w:pPr>
      <w:shd w:val="clear" w:color="auto" w:fill="FFFFFF"/>
      <w:autoSpaceDE/>
      <w:autoSpaceDN/>
      <w:adjustRightInd/>
      <w:spacing w:before="540" w:after="360" w:line="413" w:lineRule="exact"/>
      <w:ind w:hanging="1140"/>
    </w:pPr>
    <w:rPr>
      <w:rFonts w:ascii="Arial" w:eastAsia="Arial" w:hAnsi="Arial" w:cs="Arial"/>
      <w:sz w:val="21"/>
      <w:szCs w:val="21"/>
    </w:rPr>
  </w:style>
  <w:style w:type="character" w:customStyle="1" w:styleId="4">
    <w:name w:val="Основной текст4"/>
    <w:basedOn w:val="aff2"/>
    <w:rsid w:val="00665703"/>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rPr>
  </w:style>
  <w:style w:type="table" w:customStyle="1" w:styleId="TableNormal">
    <w:name w:val="Table Normal"/>
    <w:uiPriority w:val="2"/>
    <w:semiHidden/>
    <w:unhideWhenUsed/>
    <w:qFormat/>
    <w:rsid w:val="00F073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073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073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37F5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37F52"/>
    <w:pPr>
      <w:adjustRightInd/>
      <w:spacing w:before="23"/>
      <w:ind w:left="34" w:right="11" w:firstLine="0"/>
      <w:jc w:val="center"/>
    </w:pPr>
    <w:rPr>
      <w:rFonts w:ascii="Cambria" w:eastAsia="Cambria" w:hAnsi="Cambria" w:cs="Cambria"/>
      <w:sz w:val="22"/>
      <w:szCs w:val="22"/>
      <w:lang w:val="en-US" w:eastAsia="en-US" w:bidi="en-US"/>
    </w:rPr>
  </w:style>
  <w:style w:type="character" w:customStyle="1" w:styleId="105pt">
    <w:name w:val="Основной текст + 10;5 pt"/>
    <w:basedOn w:val="aff2"/>
    <w:rsid w:val="00737F52"/>
    <w:rPr>
      <w:rFonts w:ascii="Arial" w:eastAsia="Arial" w:hAnsi="Arial" w:cs="Arial"/>
      <w:color w:val="000000"/>
      <w:spacing w:val="0"/>
      <w:w w:val="100"/>
      <w:position w:val="0"/>
      <w:sz w:val="21"/>
      <w:szCs w:val="21"/>
      <w:shd w:val="clear" w:color="auto" w:fill="FFFFFF"/>
      <w:lang w:val="ru-RU"/>
    </w:rPr>
  </w:style>
  <w:style w:type="paragraph" w:customStyle="1" w:styleId="2d">
    <w:name w:val="Основной текст2"/>
    <w:basedOn w:val="a"/>
    <w:rsid w:val="00737F52"/>
    <w:pPr>
      <w:shd w:val="clear" w:color="auto" w:fill="FFFFFF"/>
      <w:autoSpaceDE/>
      <w:autoSpaceDN/>
      <w:adjustRightInd/>
      <w:spacing w:before="540" w:after="360" w:line="413" w:lineRule="exact"/>
      <w:ind w:firstLine="0"/>
    </w:pPr>
    <w:rPr>
      <w:rFonts w:ascii="Arial" w:eastAsia="Arial" w:hAnsi="Arial" w:cs="Arial"/>
      <w:sz w:val="23"/>
      <w:szCs w:val="23"/>
      <w:lang w:val="en-US" w:eastAsia="en-US"/>
    </w:rPr>
  </w:style>
  <w:style w:type="table" w:customStyle="1" w:styleId="TableNormal4">
    <w:name w:val="Table Normal4"/>
    <w:uiPriority w:val="2"/>
    <w:semiHidden/>
    <w:unhideWhenUsed/>
    <w:qFormat/>
    <w:rsid w:val="00737F5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9250E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9250E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70764041">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8B4142-28AF-42C2-8E75-0C24AF09A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1090</TotalTime>
  <Pages>118</Pages>
  <Words>49389</Words>
  <Characters>281522</Characters>
  <Application>Microsoft Office Word</Application>
  <DocSecurity>0</DocSecurity>
  <Lines>2346</Lines>
  <Paragraphs>660</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330251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Customer</dc:creator>
  <cp:keywords/>
  <dc:description/>
  <cp:lastModifiedBy>Админ</cp:lastModifiedBy>
  <cp:revision>12</cp:revision>
  <cp:lastPrinted>2018-07-13T11:44:00Z</cp:lastPrinted>
  <dcterms:created xsi:type="dcterms:W3CDTF">2018-06-21T09:34:00Z</dcterms:created>
  <dcterms:modified xsi:type="dcterms:W3CDTF">2020-08-21T18:46:00Z</dcterms:modified>
</cp:coreProperties>
</file>